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0C" w:rsidRDefault="00C8070C" w:rsidP="00C8070C">
      <w:pPr>
        <w:pBdr>
          <w:bottom w:val="single" w:sz="12" w:space="1" w:color="1F4E79" w:themeColor="accent1" w:themeShade="80"/>
        </w:pBdr>
        <w:shd w:val="clear" w:color="auto" w:fill="F2F2F2" w:themeFill="background1" w:themeFillShade="F2"/>
        <w:ind w:left="567" w:hanging="567"/>
        <w:jc w:val="both"/>
        <w:rPr>
          <w:b/>
          <w:szCs w:val="28"/>
        </w:rPr>
      </w:pPr>
      <w:r>
        <w:rPr>
          <w:b/>
          <w:szCs w:val="28"/>
        </w:rPr>
        <w:t>2. МАТЕРИАЛЫ ПО ОБОСНОВАНИЮ РАСЧЕТНЫХ ПОКАЗАТЕЛЕЙ,</w:t>
      </w:r>
    </w:p>
    <w:p w:rsidR="00C8070C" w:rsidRDefault="00C8070C" w:rsidP="00C8070C">
      <w:pPr>
        <w:pBdr>
          <w:bottom w:val="single" w:sz="12" w:space="1" w:color="1F4E79" w:themeColor="accent1" w:themeShade="80"/>
        </w:pBdr>
        <w:shd w:val="clear" w:color="auto" w:fill="F2F2F2" w:themeFill="background1" w:themeFillShade="F2"/>
        <w:ind w:firstLine="284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>СОДЕРЖАЩИХСЯ В ОСНОВНОЙ ЧАСТИ</w:t>
      </w:r>
    </w:p>
    <w:p w:rsidR="00C8070C" w:rsidRDefault="00C8070C" w:rsidP="00C8070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поселений Котельниковского муниципального района Волгоградской области, на основании параметров и условий социально-экономического развития муниципального района и его сельских поселений,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субъекта Российской Федерации в части формирования объектов местного значения сельского поселения.</w:t>
      </w:r>
    </w:p>
    <w:p w:rsidR="00C8070C" w:rsidRDefault="00C8070C" w:rsidP="00C8070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proofErr w:type="spellStart"/>
      <w:r>
        <w:rPr>
          <w:bCs/>
          <w:szCs w:val="28"/>
        </w:rPr>
        <w:t>Генераловского</w:t>
      </w:r>
      <w:proofErr w:type="spellEnd"/>
      <w:r>
        <w:rPr>
          <w:bCs/>
          <w:szCs w:val="28"/>
        </w:rPr>
        <w:t xml:space="preserve"> сельского поселения Котельниковского муниципального района Волгоградской области представлены в Таблице 2.1.</w:t>
      </w:r>
    </w:p>
    <w:p w:rsidR="00C8070C" w:rsidRDefault="00C8070C" w:rsidP="00C8070C">
      <w:pPr>
        <w:widowControl w:val="0"/>
        <w:autoSpaceDE w:val="0"/>
        <w:autoSpaceDN w:val="0"/>
        <w:adjustRightInd w:val="0"/>
        <w:ind w:firstLine="851"/>
        <w:jc w:val="right"/>
        <w:rPr>
          <w:bCs/>
          <w:szCs w:val="28"/>
        </w:rPr>
      </w:pPr>
      <w:r>
        <w:rPr>
          <w:bCs/>
          <w:szCs w:val="28"/>
        </w:rPr>
        <w:t>Таблица 2.1.</w:t>
      </w:r>
    </w:p>
    <w:tbl>
      <w:tblPr>
        <w:tblW w:w="4950" w:type="pct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701"/>
        <w:gridCol w:w="4883"/>
        <w:gridCol w:w="6224"/>
      </w:tblGrid>
      <w:tr w:rsidR="00C8070C" w:rsidTr="00C8070C">
        <w:trPr>
          <w:trHeight w:val="830"/>
          <w:tblHeader/>
          <w:jc w:val="center"/>
        </w:trPr>
        <w:tc>
          <w:tcPr>
            <w:tcW w:w="204" w:type="pct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  </w:t>
            </w:r>
            <w:r>
              <w:rPr>
                <w:b/>
                <w:color w:val="000000"/>
                <w:lang w:eastAsia="en-US"/>
              </w:rPr>
              <w:br/>
            </w:r>
          </w:p>
        </w:tc>
        <w:tc>
          <w:tcPr>
            <w:tcW w:w="938" w:type="pct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Область, вид, объект </w:t>
            </w:r>
          </w:p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местного значения</w:t>
            </w:r>
          </w:p>
        </w:tc>
        <w:tc>
          <w:tcPr>
            <w:tcW w:w="3858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Правовые и технические основания установления значений допустимого уровня обеспеченности объектами местного </w:t>
            </w:r>
            <w:proofErr w:type="gramStart"/>
            <w:r>
              <w:rPr>
                <w:b/>
                <w:color w:val="000000"/>
                <w:lang w:eastAsia="en-US"/>
              </w:rPr>
              <w:t>значения  и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их территориальной доступности</w:t>
            </w:r>
          </w:p>
        </w:tc>
      </w:tr>
      <w:tr w:rsidR="00C8070C" w:rsidTr="00C8070C">
        <w:trPr>
          <w:trHeight w:val="342"/>
          <w:tblHeader/>
          <w:jc w:val="center"/>
        </w:trPr>
        <w:tc>
          <w:tcPr>
            <w:tcW w:w="0" w:type="auto"/>
            <w:vMerge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spacing w:val="-6"/>
                <w:lang w:eastAsia="en-US"/>
              </w:rPr>
            </w:pPr>
            <w:r>
              <w:rPr>
                <w:b/>
                <w:color w:val="000000"/>
                <w:spacing w:val="-6"/>
                <w:lang w:eastAsia="en-US"/>
              </w:rPr>
              <w:t>Основания установления значений минимально допустимого уровня обеспеченности объектами местного значения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spacing w:val="-6"/>
                <w:lang w:eastAsia="en-US"/>
              </w:rPr>
            </w:pPr>
            <w:r>
              <w:rPr>
                <w:b/>
                <w:color w:val="000000"/>
                <w:spacing w:val="-6"/>
                <w:lang w:eastAsia="en-US"/>
              </w:rPr>
              <w:t xml:space="preserve">Основания установления значений </w:t>
            </w:r>
          </w:p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spacing w:val="-6"/>
                <w:lang w:eastAsia="en-US"/>
              </w:rPr>
            </w:pPr>
            <w:r>
              <w:rPr>
                <w:b/>
                <w:color w:val="000000"/>
                <w:spacing w:val="-6"/>
                <w:lang w:eastAsia="en-US"/>
              </w:rPr>
              <w:t>максимально допустимого уровня территориальной доступности объектов местного значения</w:t>
            </w:r>
          </w:p>
        </w:tc>
      </w:tr>
      <w:tr w:rsidR="00C8070C" w:rsidTr="00C8070C">
        <w:trPr>
          <w:trHeight w:val="193"/>
          <w:jc w:val="center"/>
        </w:trPr>
        <w:tc>
          <w:tcPr>
            <w:tcW w:w="5000" w:type="pct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vAlign w:val="center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Область инженерно-технического обеспечения</w:t>
            </w:r>
          </w:p>
        </w:tc>
      </w:tr>
      <w:tr w:rsidR="00C8070C" w:rsidTr="00C8070C">
        <w:trPr>
          <w:trHeight w:val="416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электроснабжения сельского поселения</w:t>
            </w:r>
          </w:p>
        </w:tc>
      </w:tr>
      <w:tr w:rsidR="00C8070C" w:rsidTr="00C8070C">
        <w:trPr>
          <w:trHeight w:val="2081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</w:t>
            </w:r>
            <w:r>
              <w:rPr>
                <w:lang w:eastAsia="en-US"/>
              </w:rPr>
              <w:t xml:space="preserve">омплекс сооружений электроснабжения 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Приложение Л.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принят в соответствии с п. 1 Постановления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      </w:r>
          </w:p>
        </w:tc>
      </w:tr>
      <w:tr w:rsidR="00C8070C" w:rsidTr="00C8070C">
        <w:trPr>
          <w:trHeight w:val="418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газоснабжения сельского поселения</w:t>
            </w:r>
          </w:p>
        </w:tc>
      </w:tr>
      <w:tr w:rsidR="00C8070C" w:rsidTr="00C8070C">
        <w:trPr>
          <w:trHeight w:val="2802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 сооружений </w:t>
            </w:r>
          </w:p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газоснабжения 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П.3.12.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принят в соответствии с п. 1 Постановления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Объекты теплоснабжения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 сооружений </w:t>
            </w:r>
          </w:p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теплоснабжения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</w:t>
            </w:r>
            <w:r>
              <w:rPr>
                <w:lang w:eastAsia="en-US"/>
              </w:rPr>
              <w:lastRenderedPageBreak/>
              <w:t>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принят в соответствии с п. 1 Постановления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Объекты водоснабжения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 сооружений </w:t>
            </w:r>
          </w:p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водоснабжения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принят в соответствии с СП 31.13330.2012 Водоснабжение. Наружные сети и сооружения. (утв. Приказом </w:t>
            </w:r>
            <w:proofErr w:type="spellStart"/>
            <w:r>
              <w:rPr>
                <w:lang w:eastAsia="en-US"/>
              </w:rPr>
              <w:t>Минрегион</w:t>
            </w:r>
            <w:proofErr w:type="spellEnd"/>
            <w:r>
              <w:rPr>
                <w:lang w:eastAsia="en-US"/>
              </w:rPr>
              <w:t xml:space="preserve"> России от 29.12.2011 N 635/14). П.5.1.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принят в соответствии с п. 1 Постановления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Объекты водоотведения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 сооружений </w:t>
            </w:r>
          </w:p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водоотведения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принят в соответствии с СП 32.13330.2012 Канализация. Наружные сети и сооружения (утв. Приказом </w:t>
            </w:r>
            <w:proofErr w:type="spellStart"/>
            <w:r>
              <w:rPr>
                <w:lang w:eastAsia="en-US"/>
              </w:rPr>
              <w:t>Минрегион</w:t>
            </w:r>
            <w:proofErr w:type="spellEnd"/>
            <w:r>
              <w:rPr>
                <w:lang w:eastAsia="en-US"/>
              </w:rPr>
              <w:t xml:space="preserve"> России от 29.12.2011 N 635/11). П.5.1.1.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принят в соответствии с п. 1 Постановления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Область автомобильных дорог и транспортного обслуживания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автомобильных дорог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6.1.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принят в соответствии с п 1.15. </w:t>
            </w:r>
            <w:r>
              <w:rPr>
                <w:lang w:eastAsia="en-US"/>
              </w:rPr>
              <w:t xml:space="preserve">«Руководство по проектированию городских улиц и дорог» Центральный Научно-Исследовательский И Проектный Институт По Градостроительству (ЦНИИП Градостроительства) </w:t>
            </w:r>
            <w:proofErr w:type="spellStart"/>
            <w:r>
              <w:rPr>
                <w:lang w:eastAsia="en-US"/>
              </w:rPr>
              <w:t>Госгражданстроя</w:t>
            </w:r>
            <w:proofErr w:type="spellEnd"/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принят в соответствии с п 1.14. </w:t>
            </w:r>
            <w:r>
              <w:rPr>
                <w:lang w:eastAsia="en-US"/>
              </w:rPr>
              <w:t>«Руководство по проектированию городских улиц и дорог» Центральный Научно-Исследовательский И Проектный Институт По Градостроительству (</w:t>
            </w:r>
            <w:proofErr w:type="spellStart"/>
            <w:r>
              <w:rPr>
                <w:lang w:eastAsia="en-US"/>
              </w:rPr>
              <w:t>Цниип</w:t>
            </w:r>
            <w:proofErr w:type="spellEnd"/>
            <w:r>
              <w:rPr>
                <w:lang w:eastAsia="en-US"/>
              </w:rPr>
              <w:t xml:space="preserve"> Градостроительства) </w:t>
            </w:r>
            <w:proofErr w:type="spellStart"/>
            <w:r>
              <w:rPr>
                <w:lang w:eastAsia="en-US"/>
              </w:rPr>
              <w:t>Госгражданстроя</w:t>
            </w:r>
            <w:proofErr w:type="spellEnd"/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Область физической культуры и массового спорта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физической культуры и массового спорта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Помещения для физкультурно-оздоровительных занятий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Обоснование показателя единовременной пропускной способности (ЕПС):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 согласно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приложения к Методическим рекомендациям по развитию сети организаций сферы физической культуры и спорта и обеспеченности населения услугами таких организаций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10.1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7.2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Плоскостные спортивные сооружения для командных игр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Обоснование показателя единовременной пропускной способности (ЕПС):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  <w:proofErr w:type="gramStart"/>
            <w:r>
              <w:rPr>
                <w:lang w:eastAsia="en-US"/>
              </w:rPr>
              <w:t>приложению</w:t>
            </w:r>
            <w:proofErr w:type="gramEnd"/>
            <w:r>
              <w:rPr>
                <w:lang w:eastAsia="en-US"/>
              </w:rPr>
              <w:t xml:space="preserve"> к Методическим рекомендациям по планово-расчетным показателям количества занимающихся </w:t>
            </w:r>
            <w:r>
              <w:rPr>
                <w:lang w:eastAsia="en-US"/>
              </w:rPr>
              <w:lastRenderedPageBreak/>
              <w:t>физической культурой и спортом на этапе начальной подготовки, используемые при расчете единовременной пропускной способности объектов спорта для помещений физкультурно-оздоровительных занятий максимальное количество занимающихся на спортивных площадках составит: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>-для баскетбольной – 18 человек;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>-для волейбольной – 20 человек;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>-для футбольной – 28 человек;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>-для теннисной – 6 человек.</w:t>
            </w:r>
            <w:r>
              <w:rPr>
                <w:lang w:eastAsia="en-US"/>
              </w:rPr>
              <w:tab/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  <w:proofErr w:type="gramStart"/>
            <w:r>
              <w:rPr>
                <w:lang w:eastAsia="en-US"/>
              </w:rPr>
              <w:t>приложению</w:t>
            </w:r>
            <w:proofErr w:type="gramEnd"/>
            <w:r>
              <w:rPr>
                <w:lang w:eastAsia="en-US"/>
              </w:rPr>
              <w:t xml:space="preserve"> к Методическим рекомендациям по развитию сети организаций сферы физической культуры и спорта и обеспеченности населения услугами таких организаций, по планово-расчетным показателям количества занимающихся, показатель единовременной пропускной способности составит: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ЕПС = (18+20+28+6) / 4 = </w:t>
            </w:r>
            <w:r>
              <w:rPr>
                <w:b/>
                <w:lang w:eastAsia="en-US"/>
              </w:rPr>
              <w:t>18%</w:t>
            </w:r>
            <w:r>
              <w:rPr>
                <w:lang w:eastAsia="en-US"/>
              </w:rPr>
              <w:t xml:space="preserve"> или </w:t>
            </w:r>
            <w:r>
              <w:rPr>
                <w:b/>
                <w:lang w:eastAsia="en-US"/>
              </w:rPr>
              <w:t>18 человек на 100 населения</w:t>
            </w:r>
            <w:r>
              <w:rPr>
                <w:lang w:eastAsia="en-US"/>
              </w:rPr>
              <w:t>.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lastRenderedPageBreak/>
              <w:t xml:space="preserve">Обоснование показателя параметров плоскостных спортивных сооружений: 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принят согласно </w:t>
            </w:r>
            <w:r>
              <w:rPr>
                <w:bCs/>
                <w:color w:val="333333"/>
                <w:lang w:eastAsia="en-US"/>
              </w:rPr>
              <w:t xml:space="preserve">СП 31-115-2006 Открытые плоскостные физкультурно-спортивные сооружения. П </w:t>
            </w:r>
            <w:proofErr w:type="gramStart"/>
            <w:r>
              <w:rPr>
                <w:bCs/>
                <w:color w:val="333333"/>
                <w:lang w:eastAsia="en-US"/>
              </w:rPr>
              <w:t>5.15.,</w:t>
            </w:r>
            <w:proofErr w:type="gramEnd"/>
            <w:r>
              <w:rPr>
                <w:bCs/>
                <w:color w:val="333333"/>
                <w:lang w:eastAsia="en-US"/>
              </w:rPr>
              <w:t xml:space="preserve"> рис. 5.8-5.9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bCs/>
                <w:lang w:eastAsia="en-US"/>
              </w:rPr>
              <w:t xml:space="preserve">принят </w:t>
            </w:r>
            <w:r>
              <w:rPr>
                <w:color w:val="000000" w:themeColor="text1"/>
                <w:lang w:eastAsia="en-US"/>
              </w:rPr>
              <w:t>в соответствии с СП 42.13330.2016 Градостроительство. Планировка и застройка городских и сельских поселений. Актуализированная редакция СНиП 2.07.01-89*. Приложение Д.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7.3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Плоскостные спортивные сооружения для физкультурно-оздоровительных занятий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6" w:firstLine="1"/>
              <w:contextualSpacing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Обоснование показателя ЕПС:</w:t>
            </w:r>
          </w:p>
          <w:p w:rsidR="00C8070C" w:rsidRDefault="00C807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6" w:firstLine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  <w:proofErr w:type="gramStart"/>
            <w:r>
              <w:rPr>
                <w:lang w:eastAsia="en-US"/>
              </w:rPr>
              <w:t>приложению</w:t>
            </w:r>
            <w:proofErr w:type="gramEnd"/>
            <w:r>
              <w:rPr>
                <w:lang w:eastAsia="en-US"/>
              </w:rPr>
              <w:t xml:space="preserve"> к Методическим рекомендациям по развитию сети организаций сферы физической культуры и спорта и обеспеченности населения услугами таких организаций, по планово-расчетным показателям количества занимающихся, показатель единовременной пропускной способности составит: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ЕПС = (3+5+10+20) / 4 = </w:t>
            </w:r>
            <w:r>
              <w:rPr>
                <w:b/>
                <w:lang w:eastAsia="en-US"/>
              </w:rPr>
              <w:t>9,5 %</w:t>
            </w:r>
            <w:r>
              <w:rPr>
                <w:lang w:eastAsia="en-US"/>
              </w:rPr>
              <w:t xml:space="preserve"> или </w:t>
            </w:r>
            <w:r>
              <w:rPr>
                <w:b/>
                <w:lang w:eastAsia="en-US"/>
              </w:rPr>
              <w:t>10 человек на 100 населения</w:t>
            </w:r>
            <w:r>
              <w:rPr>
                <w:lang w:eastAsia="en-US"/>
              </w:rPr>
              <w:t>.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 xml:space="preserve">Обоснование показателя площади на 1 </w:t>
            </w:r>
            <w:proofErr w:type="gramStart"/>
            <w:r>
              <w:rPr>
                <w:color w:val="000000" w:themeColor="text1"/>
                <w:u w:val="single"/>
                <w:lang w:eastAsia="en-US"/>
              </w:rPr>
              <w:t>чел</w:t>
            </w:r>
            <w:proofErr w:type="gramEnd"/>
            <w:r>
              <w:rPr>
                <w:color w:val="000000" w:themeColor="text1"/>
                <w:u w:val="single"/>
                <w:lang w:eastAsia="en-US"/>
              </w:rPr>
              <w:t>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Согласно приложению к Методическим рекомендациям по планово-расчетным показателям количества занимающихся физической культурой и спортом на этапе начальной подготовки, используемые при </w:t>
            </w:r>
            <w:r>
              <w:rPr>
                <w:lang w:eastAsia="en-US"/>
              </w:rPr>
              <w:lastRenderedPageBreak/>
              <w:t xml:space="preserve">расчете единовременной пропускной способности объектов </w:t>
            </w:r>
            <w:proofErr w:type="gramStart"/>
            <w:r>
              <w:rPr>
                <w:lang w:eastAsia="en-US"/>
              </w:rPr>
              <w:t>спорта  для</w:t>
            </w:r>
            <w:proofErr w:type="gramEnd"/>
            <w:r>
              <w:rPr>
                <w:lang w:eastAsia="en-US"/>
              </w:rPr>
              <w:t xml:space="preserve"> помещений физкультурно-оздоровительных занятий норма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на одного человека(мин.)  на площадках </w:t>
            </w:r>
            <w:proofErr w:type="gramStart"/>
            <w:r>
              <w:rPr>
                <w:lang w:eastAsia="en-US"/>
              </w:rPr>
              <w:t>составит :</w:t>
            </w:r>
            <w:proofErr w:type="gramEnd"/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-для детей 6-10 лет – 3кв.м.;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-для детей 1-14лет – 5кв.м.;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-для юношей и взрослых – 10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.;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-для подвижных игр– 20 кв. м.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Площадь составит: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(3+5+10+20) / 4 = </w:t>
            </w:r>
            <w:r>
              <w:rPr>
                <w:b/>
                <w:lang w:eastAsia="en-US"/>
              </w:rPr>
              <w:t>9,5 м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на 1 человека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Показатель транспортно-пешеходной доступности принят на уровне 10 минут, исходя из особенностей планировочных организаций территорий населенных пунктов с учетом размещения площадки в каждом населенном пункте, при условии соблюдения рекомендаций СП 42.13330.2016 Градостроительство. Планировка и застройка городских и сельских поселений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Область обработки, утилизации, обезвреживания, размещения твердых коммунальных отходов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обработки, утилизации, обезвреживания, размещения твердых коммунальных отходов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Вывоз бытового мусора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согласно СП 42.13330.2016 Градостроительство. Планировка и застройка городских и сельских поселений. Актуализированная редакция СНиП 2.07.01-89*, приложение К., норма накопления коммунально-бытовых отходов составляет 1,1 м</w:t>
            </w:r>
            <w:r>
              <w:rPr>
                <w:color w:val="000000" w:themeColor="text1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 xml:space="preserve"> в год на 1 чел.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Принимаем ориентировочный объем мусорного контейнера равный 0,8 м</w:t>
            </w:r>
            <w:r>
              <w:rPr>
                <w:color w:val="000000"/>
                <w:shd w:val="clear" w:color="auto" w:fill="FFFFFF"/>
                <w:vertAlign w:val="superscript"/>
                <w:lang w:eastAsia="en-US"/>
              </w:rPr>
              <w:t>3</w:t>
            </w:r>
            <w:r>
              <w:rPr>
                <w:color w:val="000000"/>
                <w:shd w:val="clear" w:color="auto" w:fill="FFFFFF"/>
                <w:lang w:eastAsia="en-US"/>
              </w:rPr>
              <w:t>, расчетный показатель количества контейнеров на 100 человек составит: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(1,1 м</w:t>
            </w:r>
            <w:r>
              <w:rPr>
                <w:color w:val="000000"/>
                <w:shd w:val="clear" w:color="auto" w:fill="FFFFFF"/>
                <w:vertAlign w:val="superscript"/>
                <w:lang w:eastAsia="en-US"/>
              </w:rPr>
              <w:t>3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/ 365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дней)∙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100/0,8 м3 = 0,4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На основании расчета, необходимо обеспечить население контейнерными площадками с общим количеством контейнеров из расчета </w:t>
            </w:r>
            <w:r>
              <w:rPr>
                <w:b/>
                <w:color w:val="000000"/>
                <w:shd w:val="clear" w:color="auto" w:fill="FFFFFF"/>
                <w:lang w:eastAsia="en-US"/>
              </w:rPr>
              <w:t>1 контейнер на 100 человек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с учетом обеспеченности территориальной доступности.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принят </w:t>
            </w:r>
            <w:proofErr w:type="gramStart"/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rPr>
                <w:color w:val="000000" w:themeColor="text1"/>
                <w:lang w:eastAsia="en-US"/>
              </w:rPr>
              <w:t>СанПиН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42-128-4690-88 "Санитарные правила содержания территорий населенных мест" (утв. Минздравом СССР 5 августа 1988 г. N 4690-88). П.2.2.3.</w:t>
            </w:r>
            <w:r>
              <w:rPr>
                <w:color w:val="000000" w:themeColor="text1"/>
                <w:shd w:val="clear" w:color="auto" w:fill="F7F7F9"/>
                <w:lang w:eastAsia="en-US"/>
              </w:rPr>
              <w:t> 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Область культуры и искусства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библиотечного обслуживания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принят в соответствии с таблицей 1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</w:t>
            </w:r>
            <w:r>
              <w:rPr>
                <w:bCs/>
                <w:lang w:eastAsia="en-US"/>
              </w:rPr>
              <w:lastRenderedPageBreak/>
              <w:t>организаций культуры и обеспеченности населения услугами организаций культуры»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принят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 соответствии с таблицей 1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9.2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принят в соответствии с таблицей 1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принят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 соответствии с таблицей 1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культурно - досугового (клубного) типа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Дом культуры (административный центр сельского поселения)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Обоснование показателя количества объектов: </w:t>
            </w:r>
            <w:r>
              <w:rPr>
                <w:bCs/>
                <w:lang w:eastAsia="en-US"/>
              </w:rPr>
              <w:t xml:space="preserve">1 объект </w:t>
            </w:r>
            <w:r>
              <w:rPr>
                <w:szCs w:val="28"/>
                <w:lang w:eastAsia="en-US"/>
              </w:rPr>
              <w:t>независимо от количества населения -</w:t>
            </w:r>
            <w:r>
              <w:rPr>
                <w:bCs/>
                <w:lang w:eastAsia="en-US"/>
              </w:rPr>
              <w:t xml:space="preserve"> принят в соответствии с таблицей 6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</w:t>
            </w:r>
            <w:r>
              <w:rPr>
                <w:bCs/>
                <w:lang w:eastAsia="en-US"/>
              </w:rPr>
              <w:lastRenderedPageBreak/>
              <w:t>организаций культуры и обеспеченности населения услугами организаций культуры»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 xml:space="preserve">Обоснование показателя количества мест в зале, оборудованном для кинопоказа: 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принят </w:t>
            </w:r>
            <w:r>
              <w:rPr>
                <w:color w:val="000000" w:themeColor="text1"/>
                <w:lang w:eastAsia="en-US"/>
              </w:rPr>
              <w:t>в соответствии с СП 42.13330.2016 Градостроительство. Планировка и застройка городских и сельских поселений. Актуализированная редакция СНиП 2.07.01-89</w:t>
            </w:r>
            <w:proofErr w:type="gramStart"/>
            <w:r>
              <w:rPr>
                <w:color w:val="000000" w:themeColor="text1"/>
                <w:lang w:eastAsia="en-US"/>
              </w:rPr>
              <w:t>*</w:t>
            </w:r>
            <w:r>
              <w:rPr>
                <w:bCs/>
                <w:lang w:eastAsia="en-US"/>
              </w:rPr>
              <w:t xml:space="preserve"> .</w:t>
            </w:r>
            <w:proofErr w:type="gramEnd"/>
            <w:r>
              <w:rPr>
                <w:bCs/>
                <w:lang w:eastAsia="en-US"/>
              </w:rPr>
              <w:t xml:space="preserve"> Приложение Д 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 xml:space="preserve">Обоснование показателя площади пола кружковых: 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принят </w:t>
            </w:r>
            <w:r>
              <w:rPr>
                <w:color w:val="000000" w:themeColor="text1"/>
                <w:lang w:eastAsia="en-US"/>
              </w:rPr>
              <w:t>в соответствии с СП 42.13330.2016 Градостроительство. Планировка и застройка городских и сельских поселений. Актуализированная редакция СНиП 2.07.01-89*. Приложение Д.</w:t>
            </w: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принят</w:t>
            </w:r>
            <w:r>
              <w:rPr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в соответствии с таблицей 6 Распоряжения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Область местного самоуправления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услуг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Административное здание органа местного самоуправления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принят в соответствии с полномочиями установленные ч.1 ст.15 Федерального </w:t>
            </w:r>
            <w:r>
              <w:rPr>
                <w:szCs w:val="28"/>
                <w:lang w:eastAsia="en-US"/>
              </w:rPr>
              <w:lastRenderedPageBreak/>
              <w:t>закона от 06.10.2003 N 131-ФЗ» Об общих принципах организации местного самоуправления в Российской Федерации».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Транспортная доступность 20 минут принята исходя из времени, за которое можно добраться от самого 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 xml:space="preserve">удаленного населенного пункта сельского </w:t>
            </w:r>
            <w:proofErr w:type="gramStart"/>
            <w:r>
              <w:rPr>
                <w:color w:val="000000" w:themeColor="text1"/>
                <w:szCs w:val="28"/>
                <w:lang w:eastAsia="en-US"/>
              </w:rPr>
              <w:t>поселения  до</w:t>
            </w:r>
            <w:proofErr w:type="gramEnd"/>
            <w:r>
              <w:rPr>
                <w:color w:val="000000" w:themeColor="text1"/>
                <w:szCs w:val="28"/>
                <w:lang w:eastAsia="en-US"/>
              </w:rPr>
              <w:t xml:space="preserve"> объекта.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EAAAA" w:themeFill="background2" w:themeFillShade="BF"/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Область благоустройства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12.</w:t>
            </w:r>
          </w:p>
        </w:tc>
        <w:tc>
          <w:tcPr>
            <w:tcW w:w="4796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Объекты благоустройства сельского поселения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12.1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Территории рекреационного назначения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Таблица 9.2.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 в соответствии с СП 42.13330.2016 Градостроительство. Планировка и застройка городских и сельских поселений. Актуализированная редакция СНиП 2.07.01-89*. П. 9.4.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12.2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Детская площадка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принят </w:t>
            </w:r>
            <w:r>
              <w:rPr>
                <w:bCs/>
                <w:lang w:eastAsia="en-US"/>
              </w:rPr>
              <w:t>в соответствии с п. 4.15.2.3.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принят </w:t>
            </w:r>
            <w:r>
              <w:rPr>
                <w:bCs/>
                <w:lang w:eastAsia="en-US"/>
              </w:rPr>
              <w:t>в соответствии с п. 8. Приказа Минстроя России от 13.04.2017 N 711/</w:t>
            </w:r>
            <w:proofErr w:type="spellStart"/>
            <w:r>
              <w:rPr>
                <w:bCs/>
                <w:lang w:eastAsia="en-US"/>
              </w:rPr>
              <w:t>пр</w:t>
            </w:r>
            <w:proofErr w:type="spellEnd"/>
            <w:r>
              <w:rPr>
                <w:bCs/>
                <w:lang w:eastAsia="en-US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C8070C" w:rsidTr="00C8070C">
        <w:trPr>
          <w:trHeight w:val="400"/>
          <w:jc w:val="center"/>
        </w:trPr>
        <w:tc>
          <w:tcPr>
            <w:tcW w:w="204" w:type="pc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12.3</w:t>
            </w:r>
          </w:p>
        </w:tc>
        <w:tc>
          <w:tcPr>
            <w:tcW w:w="93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Площадка отдыха и досуга</w:t>
            </w:r>
          </w:p>
        </w:tc>
        <w:tc>
          <w:tcPr>
            <w:tcW w:w="169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принят </w:t>
            </w:r>
            <w:r>
              <w:rPr>
                <w:bCs/>
                <w:lang w:eastAsia="en-US"/>
              </w:rPr>
              <w:t>в соответствии с п. 4.15.3.2.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</w:tc>
        <w:tc>
          <w:tcPr>
            <w:tcW w:w="216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C8070C" w:rsidRDefault="00C8070C">
            <w:pPr>
              <w:spacing w:line="276" w:lineRule="auto"/>
              <w:ind w:left="136" w:firstLine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Обоснование показателя:</w:t>
            </w:r>
          </w:p>
          <w:p w:rsidR="00C8070C" w:rsidRDefault="00C8070C">
            <w:pPr>
              <w:spacing w:line="276" w:lineRule="auto"/>
              <w:ind w:left="136" w:firstLine="1"/>
              <w:contextualSpacing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принят </w:t>
            </w:r>
            <w:r>
              <w:rPr>
                <w:bCs/>
                <w:lang w:eastAsia="en-US"/>
              </w:rPr>
              <w:t>в соответствии с п. 8. Приказа Минстроя России от 13.04.2017 N 711/</w:t>
            </w:r>
            <w:proofErr w:type="spellStart"/>
            <w:r>
              <w:rPr>
                <w:bCs/>
                <w:lang w:eastAsia="en-US"/>
              </w:rPr>
              <w:t>пр</w:t>
            </w:r>
            <w:proofErr w:type="spellEnd"/>
            <w:r>
              <w:rPr>
                <w:bCs/>
                <w:lang w:eastAsia="en-US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</w:tbl>
    <w:p w:rsidR="008B10BF" w:rsidRDefault="00C8070C">
      <w:bookmarkStart w:id="0" w:name="_GoBack"/>
      <w:bookmarkEnd w:id="0"/>
    </w:p>
    <w:sectPr w:rsidR="008B10BF" w:rsidSect="00C807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0C"/>
    <w:rsid w:val="0045255D"/>
    <w:rsid w:val="009E25A5"/>
    <w:rsid w:val="00C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B488-B102-42E6-A2A8-D963B41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2017-10-31T06:28:00Z</dcterms:created>
  <dcterms:modified xsi:type="dcterms:W3CDTF">2017-10-31T06:29:00Z</dcterms:modified>
</cp:coreProperties>
</file>