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F4" w:rsidRDefault="00B25EF4" w:rsidP="00B25EF4">
      <w:pPr>
        <w:pBdr>
          <w:bottom w:val="single" w:sz="12" w:space="1" w:color="1F4E79" w:themeColor="accent1" w:themeShade="80"/>
        </w:pBdr>
        <w:shd w:val="clear" w:color="auto" w:fill="F2F2F2" w:themeFill="background1" w:themeFillShade="F2"/>
        <w:jc w:val="both"/>
        <w:rPr>
          <w:b/>
          <w:szCs w:val="28"/>
        </w:rPr>
      </w:pPr>
      <w:r>
        <w:rPr>
          <w:b/>
          <w:szCs w:val="28"/>
        </w:rPr>
        <w:t xml:space="preserve">3.   ПРАВИЛА И ОБЛАСТЬ ПРИМЕНЕНИЯ РАСЧЕТНЫХ ПОКАЗАТЕЛЕЙ, </w:t>
      </w:r>
    </w:p>
    <w:p w:rsidR="00B25EF4" w:rsidRDefault="00B25EF4" w:rsidP="00B25EF4">
      <w:pPr>
        <w:pBdr>
          <w:bottom w:val="single" w:sz="12" w:space="1" w:color="1F4E79" w:themeColor="accent1" w:themeShade="80"/>
        </w:pBdr>
        <w:shd w:val="clear" w:color="auto" w:fill="F2F2F2" w:themeFill="background1" w:themeFillShade="F2"/>
        <w:jc w:val="both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      СОДЕРЖАЩИХСЯ В ОСНОВНОЙ ЧАСТИ</w:t>
      </w:r>
    </w:p>
    <w:p w:rsidR="00B25EF4" w:rsidRDefault="00B25EF4" w:rsidP="00B25EF4">
      <w:pPr>
        <w:autoSpaceDE w:val="0"/>
        <w:spacing w:line="276" w:lineRule="auto"/>
        <w:ind w:firstLine="851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B25EF4" w:rsidTr="00B25EF4">
        <w:tc>
          <w:tcPr>
            <w:tcW w:w="567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8505" w:type="dxa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Область применения расчетных показателей</w:t>
            </w:r>
          </w:p>
        </w:tc>
      </w:tr>
    </w:tbl>
    <w:p w:rsidR="00B25EF4" w:rsidRDefault="00B25EF4" w:rsidP="00B25EF4">
      <w:pPr>
        <w:autoSpaceDE w:val="0"/>
        <w:spacing w:line="276" w:lineRule="auto"/>
        <w:ind w:firstLine="851"/>
        <w:jc w:val="both"/>
      </w:pPr>
    </w:p>
    <w:p w:rsidR="00B25EF4" w:rsidRDefault="00B25EF4" w:rsidP="00B25EF4">
      <w:pPr>
        <w:autoSpaceDE w:val="0"/>
        <w:spacing w:line="276" w:lineRule="auto"/>
        <w:ind w:firstLine="851"/>
        <w:jc w:val="both"/>
      </w:pPr>
      <w:r>
        <w:t xml:space="preserve">Местные нормативы градостроительного проектирования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 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 в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</w:t>
      </w:r>
    </w:p>
    <w:p w:rsidR="00B25EF4" w:rsidRDefault="00B25EF4" w:rsidP="00B25EF4">
      <w:pPr>
        <w:autoSpaceDE w:val="0"/>
        <w:spacing w:line="276" w:lineRule="auto"/>
        <w:ind w:firstLine="851"/>
        <w:jc w:val="both"/>
      </w:pPr>
      <w:r>
        <w:t>Нормативы установлены с учётом природно-климатических, социально-демографических, национальных, территориальных особенностей поселения, и содержат минимальные расчётные показатели обеспечения благоприятных условий жизнедеятельности человека, в том числе показатели обеспечения объектами социального и коммунально-бытового назначения, доступности объектов социального назначения для населения.</w:t>
      </w:r>
    </w:p>
    <w:p w:rsidR="00B25EF4" w:rsidRDefault="00B25EF4" w:rsidP="00B25EF4">
      <w:pPr>
        <w:autoSpaceDE w:val="0"/>
        <w:spacing w:line="276" w:lineRule="auto"/>
        <w:ind w:firstLine="851"/>
        <w:jc w:val="both"/>
      </w:pPr>
      <w:r>
        <w:t xml:space="preserve">Местные нормативы градостроительного проектирования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 применяются при подготовке, согласовании, экспертизе, утверждении и реализации документов территориального планирования (генерального плана сельского поселения), документации по планировке территорий в части размещения объектов местного значения поселения, правил землепользования и застройки с учётом перспективы их развития,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t xml:space="preserve">Местные нормативы градостроительного проектирования распространяются на предлагаемые к размещению на территории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 объекты местного значения в области транспорта, инженерного обеспечения, физической культуры и массового спорта.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B25EF4" w:rsidTr="00B25EF4">
        <w:tc>
          <w:tcPr>
            <w:tcW w:w="567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8505" w:type="dxa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Состав участников градостроительных отношений</w:t>
            </w:r>
          </w:p>
        </w:tc>
      </w:tr>
    </w:tbl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spacing w:after="24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В состав участников градостроительной деятельности </w:t>
      </w:r>
      <w:proofErr w:type="spellStart"/>
      <w:r>
        <w:t>Генераловского</w:t>
      </w:r>
      <w:proofErr w:type="spellEnd"/>
      <w:r>
        <w:t xml:space="preserve"> сельского поселения Котельниковского муниципального района Волгоградской области</w:t>
      </w:r>
      <w:r>
        <w:rPr>
          <w:rFonts w:eastAsia="TimesNewRomanPSMT"/>
        </w:rPr>
        <w:t xml:space="preserve"> входят: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1. Органы местного самоуправления, осуществляющие процесс согласования, утверждения документов, выдачи разрешений на строительство и пр., в том числе: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Администрация Котельниковского муниципального района Волгоградской области в лице Отдела архитектуры и градостроительства;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2. Население </w:t>
      </w:r>
      <w:proofErr w:type="spellStart"/>
      <w:r>
        <w:rPr>
          <w:rFonts w:eastAsia="TimesNewRomanPSMT"/>
        </w:rPr>
        <w:t>Генераловского</w:t>
      </w:r>
      <w:proofErr w:type="spellEnd"/>
      <w:r>
        <w:rPr>
          <w:rFonts w:eastAsia="TimesNewRomanPSMT"/>
        </w:rPr>
        <w:t xml:space="preserve"> сельского поселения, а также физические и юридические лица, предприниматели, осуществляющие или планирующие осуществлять свою деятельность на территории поселения, которые обращаются в Администрацию по вопросам выдачи разрешений на строительство, предоставления градостроительных планов земельных участков, предоставляют предложения и запросы о возможности внесения изменений в документы градостроительного проектирования, связанные с хозяйственной деятельностью и пр.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3. Проектные и проектно-изыскательские организации, непосредственно осуществляющие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лица под контролем специалистов Администрации.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681"/>
      </w:tblGrid>
      <w:tr w:rsidR="00B25EF4" w:rsidTr="00B25EF4">
        <w:tc>
          <w:tcPr>
            <w:tcW w:w="567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8789" w:type="dxa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Документы градостроительного проектирования</w:t>
            </w:r>
          </w:p>
        </w:tc>
      </w:tr>
    </w:tbl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К документам градостроительного проектирования, в которых должны быть соблюдены требования настоящих нормативов градостроительного проектирования </w:t>
      </w:r>
      <w:proofErr w:type="spellStart"/>
      <w:r>
        <w:rPr>
          <w:rFonts w:eastAsia="TimesNewRomanPSMT"/>
        </w:rPr>
        <w:t>Генераловского</w:t>
      </w:r>
      <w:proofErr w:type="spellEnd"/>
      <w:r>
        <w:rPr>
          <w:rFonts w:eastAsia="TimesNewRomanPSMT"/>
        </w:rPr>
        <w:t xml:space="preserve"> сельского поселения Котельниковского муниципального района Волгоградской области относятся: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1. Документы территориального планирования 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- Генеральный план </w:t>
      </w:r>
      <w:proofErr w:type="spellStart"/>
      <w:r>
        <w:rPr>
          <w:rFonts w:eastAsia="TimesNewRomanPSMT"/>
        </w:rPr>
        <w:t>Генераловского</w:t>
      </w:r>
      <w:proofErr w:type="spellEnd"/>
      <w:r>
        <w:rPr>
          <w:rFonts w:eastAsia="TimesNewRomanPSMT"/>
        </w:rPr>
        <w:t xml:space="preserve"> сельского поселения Котельниковского муниципального района Волгоградской области;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Генеральные планы поселения, применительно к отдельным населенным пунктам и проекты внесения изменений в генеральные планы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2. Документы градостроительного зонирования </w:t>
      </w:r>
      <w:proofErr w:type="spellStart"/>
      <w:r>
        <w:rPr>
          <w:rFonts w:eastAsia="TimesNewRomanPSMT"/>
        </w:rPr>
        <w:t>Генераловского</w:t>
      </w:r>
      <w:proofErr w:type="spellEnd"/>
      <w:r>
        <w:rPr>
          <w:rFonts w:eastAsia="TimesNewRomanPSMT"/>
        </w:rPr>
        <w:t xml:space="preserve"> сельского поселения Котельниковского муниципального района Волгоградской области: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Правила землепользования и застройки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3. Документы планировки территории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Проекты планировки территорий для размещения объектов местного значения;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Проекты межевания территории;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Проекты планировки, совмещенные с проектами межевания территории;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Градостроительные планы земельных участков;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- Схемы планировочной организации земельных участков</w:t>
      </w:r>
    </w:p>
    <w:p w:rsidR="00B25EF4" w:rsidRDefault="00B25EF4" w:rsidP="00B25EF4">
      <w:pPr>
        <w:autoSpaceDE w:val="0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4. Раздел проектной документации на строительство «Схема планировочной организации земельного участка», согласно постановления Правительства РФ № 87, а также проекты комплексной застройки, комплексного освоения территорий в границах </w:t>
      </w:r>
      <w:proofErr w:type="spellStart"/>
      <w:r>
        <w:rPr>
          <w:rFonts w:eastAsia="TimesNewRomanPSMT"/>
        </w:rPr>
        <w:t>Генераловского</w:t>
      </w:r>
      <w:proofErr w:type="spellEnd"/>
      <w:r>
        <w:rPr>
          <w:rFonts w:eastAsia="TimesNewRomanPSMT"/>
        </w:rPr>
        <w:t xml:space="preserve"> сельского поселения Котельниковского муниципального района Волгоградской области.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681"/>
      </w:tblGrid>
      <w:tr w:rsidR="00B25EF4" w:rsidTr="00B25EF4">
        <w:tc>
          <w:tcPr>
            <w:tcW w:w="567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8789" w:type="dxa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Демонстрационные числовые примеры решения типовых задач с использованием расчетных показателей, приведенных в основной части</w:t>
            </w:r>
          </w:p>
        </w:tc>
      </w:tr>
    </w:tbl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  <w:u w:val="single"/>
        </w:rPr>
      </w:pPr>
      <w:r>
        <w:rPr>
          <w:rFonts w:eastAsia="TimesNewRomanPSMT"/>
          <w:b/>
          <w:color w:val="000000" w:themeColor="text1"/>
          <w:u w:val="single"/>
        </w:rPr>
        <w:t>1.</w:t>
      </w:r>
      <w:r>
        <w:rPr>
          <w:rFonts w:eastAsia="TimesNewRomanPSMT"/>
          <w:color w:val="000000" w:themeColor="text1"/>
          <w:u w:val="single"/>
        </w:rPr>
        <w:t>Пример применения расчетных показателей объектов, относящихся к области газоснабжения.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i/>
          <w:color w:val="000000" w:themeColor="text1"/>
        </w:rPr>
        <w:lastRenderedPageBreak/>
        <w:t>Исходные данные: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Необходимо запроектировать жилой квартал на 60 домовладений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(162 жителя, </w:t>
      </w:r>
      <w:proofErr w:type="spellStart"/>
      <w:r>
        <w:rPr>
          <w:rFonts w:eastAsia="TimesNewRomanPSMT"/>
          <w:color w:val="000000" w:themeColor="text1"/>
        </w:rPr>
        <w:t>коэф</w:t>
      </w:r>
      <w:proofErr w:type="spellEnd"/>
      <w:r>
        <w:rPr>
          <w:rFonts w:eastAsia="TimesNewRomanPSMT"/>
          <w:color w:val="000000" w:themeColor="text1"/>
        </w:rPr>
        <w:t>. семейности 2,7).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i/>
          <w:color w:val="000000" w:themeColor="text1"/>
        </w:rPr>
      </w:pPr>
      <w:r>
        <w:rPr>
          <w:rFonts w:eastAsia="TimesNewRomanPSMT"/>
          <w:i/>
          <w:color w:val="000000" w:themeColor="text1"/>
        </w:rPr>
        <w:t>Применение показателя: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Показатели, приведенные в основной части МНГП применяются при расчете нагрузок на сети газоснабжения для обеспечения потребностей жильцов проектируемых домовладений.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Так, согласно Таблице 1.1. МНГП, пункт 2.1, показатель потребления газа составляет 220 куб. м. в год.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 Так расчетная нагрузка на сети газоснабжения составит: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220 х 162 = 35 </w:t>
      </w:r>
      <w:proofErr w:type="gramStart"/>
      <w:r>
        <w:rPr>
          <w:rFonts w:eastAsia="TimesNewRomanPSMT"/>
          <w:color w:val="000000" w:themeColor="text1"/>
        </w:rPr>
        <w:t>640  куб.</w:t>
      </w:r>
      <w:proofErr w:type="gramEnd"/>
      <w:r>
        <w:rPr>
          <w:rFonts w:eastAsia="TimesNewRomanPSMT"/>
          <w:color w:val="000000" w:themeColor="text1"/>
        </w:rPr>
        <w:t xml:space="preserve"> м. в год.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i/>
          <w:color w:val="000000" w:themeColor="text1"/>
        </w:rPr>
      </w:pPr>
      <w:r>
        <w:rPr>
          <w:rFonts w:eastAsia="TimesNewRomanPSMT"/>
          <w:i/>
          <w:color w:val="000000" w:themeColor="text1"/>
        </w:rPr>
        <w:t>Вывод: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При проектировании 60 домовладений (162 жителя) необходимо учитывать планируемую нагрузку на сети газоснабжения в объеме 35 </w:t>
      </w:r>
      <w:proofErr w:type="gramStart"/>
      <w:r>
        <w:rPr>
          <w:rFonts w:eastAsia="TimesNewRomanPSMT"/>
          <w:color w:val="000000" w:themeColor="text1"/>
        </w:rPr>
        <w:t>640  куб.</w:t>
      </w:r>
      <w:proofErr w:type="gramEnd"/>
      <w:r>
        <w:rPr>
          <w:rFonts w:eastAsia="TimesNewRomanPSMT"/>
          <w:color w:val="000000" w:themeColor="text1"/>
        </w:rPr>
        <w:t xml:space="preserve"> м. в год.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b/>
          <w:color w:val="000000" w:themeColor="text1"/>
          <w:u w:val="single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  <w:u w:val="single"/>
        </w:rPr>
      </w:pPr>
      <w:r>
        <w:rPr>
          <w:rFonts w:eastAsia="TimesNewRomanPSMT"/>
          <w:b/>
          <w:color w:val="000000" w:themeColor="text1"/>
          <w:u w:val="single"/>
        </w:rPr>
        <w:t>2.</w:t>
      </w:r>
      <w:r>
        <w:rPr>
          <w:rFonts w:eastAsia="TimesNewRomanPSMT"/>
          <w:color w:val="000000" w:themeColor="text1"/>
          <w:u w:val="single"/>
        </w:rPr>
        <w:t xml:space="preserve"> Пример применения расчетных показателей объектов в области физической культуры и массового спорта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i/>
          <w:color w:val="000000" w:themeColor="text1"/>
        </w:rPr>
        <w:t>Исходные данные: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Необходимо сформировать участок под спортивную площадку для физкультурно-оздоровительных занятий на 100 жителей.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i/>
          <w:color w:val="000000" w:themeColor="text1"/>
        </w:rPr>
      </w:pPr>
      <w:r>
        <w:rPr>
          <w:rFonts w:eastAsia="TimesNewRomanPSMT"/>
          <w:i/>
          <w:color w:val="000000" w:themeColor="text1"/>
        </w:rPr>
        <w:t>Применение показателя: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Согласно Таблице </w:t>
      </w:r>
      <w:proofErr w:type="gramStart"/>
      <w:r>
        <w:rPr>
          <w:rFonts w:eastAsia="TimesNewRomanPSMT"/>
          <w:color w:val="000000" w:themeColor="text1"/>
        </w:rPr>
        <w:t>1.1.,</w:t>
      </w:r>
      <w:proofErr w:type="gramEnd"/>
      <w:r>
        <w:rPr>
          <w:rFonts w:eastAsia="TimesNewRomanPSMT"/>
          <w:color w:val="000000" w:themeColor="text1"/>
        </w:rPr>
        <w:t xml:space="preserve"> п. 7.3. МНГП, показатель минимальной площади </w:t>
      </w:r>
      <w:r>
        <w:rPr>
          <w:color w:val="000000" w:themeColor="text1"/>
          <w:szCs w:val="22"/>
        </w:rPr>
        <w:t xml:space="preserve">плоскостных спортивных сооружений для физкультурно-оздоровительных занятий составляет 9,5 </w:t>
      </w:r>
      <w:proofErr w:type="spellStart"/>
      <w:r>
        <w:rPr>
          <w:color w:val="000000" w:themeColor="text1"/>
          <w:szCs w:val="22"/>
        </w:rPr>
        <w:t>кв.м</w:t>
      </w:r>
      <w:proofErr w:type="spellEnd"/>
      <w:r>
        <w:rPr>
          <w:color w:val="000000" w:themeColor="text1"/>
          <w:szCs w:val="22"/>
        </w:rPr>
        <w:t>. на 1 человека</w:t>
      </w:r>
      <w:r>
        <w:rPr>
          <w:rFonts w:eastAsia="TimesNewRomanPSMT"/>
          <w:color w:val="000000" w:themeColor="text1"/>
          <w:sz w:val="28"/>
        </w:rPr>
        <w:t>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Так минимальная площадь спортивной площадки на 100 жителей составит: 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100 х 9,5 = 950кв. м. или 0,095 га.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i/>
          <w:color w:val="000000" w:themeColor="text1"/>
        </w:rPr>
      </w:pPr>
      <w:r>
        <w:rPr>
          <w:rFonts w:eastAsia="TimesNewRomanPSMT"/>
          <w:i/>
          <w:color w:val="000000" w:themeColor="text1"/>
        </w:rPr>
        <w:t>Вывод: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C00000"/>
        </w:rPr>
      </w:pPr>
      <w:r>
        <w:rPr>
          <w:rFonts w:eastAsia="TimesNewRomanPSMT"/>
          <w:color w:val="000000" w:themeColor="text1"/>
        </w:rPr>
        <w:t>При формировании земельного участка под спортивную площадку для физкультурно-оздоровительных занятий на 100 жителей необходимо принять минимальную площадь, согласно расчету 950 кв. м. или 0,095 га.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b/>
          <w:color w:val="000000" w:themeColor="text1"/>
          <w:u w:val="single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  <w:u w:val="single"/>
        </w:rPr>
      </w:pPr>
      <w:r>
        <w:rPr>
          <w:rFonts w:eastAsia="TimesNewRomanPSMT"/>
          <w:b/>
          <w:color w:val="000000" w:themeColor="text1"/>
          <w:u w:val="single"/>
        </w:rPr>
        <w:t>3.</w:t>
      </w:r>
      <w:r>
        <w:rPr>
          <w:rFonts w:eastAsia="TimesNewRomanPSMT"/>
          <w:color w:val="000000" w:themeColor="text1"/>
          <w:u w:val="single"/>
        </w:rPr>
        <w:t xml:space="preserve"> Пример применения расчетных показателей объектов в области культуры и искусства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i/>
          <w:color w:val="000000" w:themeColor="text1"/>
        </w:rPr>
        <w:t>Исходные данные: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Необходимо разместить помещение для культурно-массовых мероприятий в учреждении культуры на 400 человек.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i/>
          <w:color w:val="000000" w:themeColor="text1"/>
        </w:rPr>
      </w:pPr>
      <w:r>
        <w:rPr>
          <w:rFonts w:eastAsia="TimesNewRomanPSMT"/>
          <w:i/>
          <w:color w:val="000000" w:themeColor="text1"/>
        </w:rPr>
        <w:t>Применение показателя: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Согласно Таблице 1.1. МНГП, пункт 10.1, показатель минимальной площади </w:t>
      </w:r>
      <w:r>
        <w:rPr>
          <w:color w:val="000000" w:themeColor="text1"/>
          <w:szCs w:val="22"/>
        </w:rPr>
        <w:t>помещений для культурно-массовых мероприятий в учреждениях культуры составляет 50 кв. м. на 1000 жителей</w:t>
      </w:r>
      <w:r>
        <w:rPr>
          <w:rFonts w:eastAsia="TimesNewRomanPSMT"/>
          <w:color w:val="000000" w:themeColor="text1"/>
        </w:rPr>
        <w:t>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Так минимальная площадь </w:t>
      </w:r>
      <w:r>
        <w:rPr>
          <w:color w:val="000000" w:themeColor="text1"/>
          <w:szCs w:val="22"/>
        </w:rPr>
        <w:t>помещения для культурно-массовых мероприятий</w:t>
      </w:r>
      <w:r>
        <w:rPr>
          <w:rFonts w:eastAsia="TimesNewRomanPSMT"/>
          <w:color w:val="000000" w:themeColor="text1"/>
        </w:rPr>
        <w:t xml:space="preserve"> учреждения культуры на 400 человек составит: (50 / 1000) х 400 = 20 кв. м.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i/>
          <w:color w:val="000000" w:themeColor="text1"/>
        </w:rPr>
      </w:pPr>
      <w:r>
        <w:rPr>
          <w:rFonts w:eastAsia="TimesNewRomanPSMT"/>
          <w:i/>
          <w:color w:val="000000" w:themeColor="text1"/>
        </w:rPr>
        <w:t>Вывод: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color w:val="000000" w:themeColor="text1"/>
          <w:szCs w:val="22"/>
        </w:rPr>
      </w:pPr>
      <w:r>
        <w:rPr>
          <w:rFonts w:eastAsia="TimesNewRomanPSMT"/>
          <w:color w:val="000000" w:themeColor="text1"/>
        </w:rPr>
        <w:lastRenderedPageBreak/>
        <w:t xml:space="preserve">При проектировании помещения для культурно-массовых мероприятий в учреждении культуры на 400 человек необходимо предусмотреть помещение </w:t>
      </w:r>
      <w:r>
        <w:rPr>
          <w:color w:val="000000" w:themeColor="text1"/>
          <w:szCs w:val="22"/>
        </w:rPr>
        <w:t>площадью не менее 20 кв. м. каждое.</w:t>
      </w: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color w:val="C00000"/>
          <w:szCs w:val="22"/>
        </w:rPr>
      </w:pPr>
    </w:p>
    <w:p w:rsidR="00B25EF4" w:rsidRDefault="00B25EF4" w:rsidP="00B25EF4">
      <w:pPr>
        <w:spacing w:after="200" w:line="276" w:lineRule="auto"/>
        <w:rPr>
          <w:rFonts w:eastAsia="TimesNewRomanPSMT"/>
        </w:rPr>
      </w:pPr>
      <w:bookmarkStart w:id="0" w:name="_GoBack"/>
      <w:bookmarkEnd w:id="0"/>
    </w:p>
    <w:p w:rsidR="00B25EF4" w:rsidRDefault="00B25EF4" w:rsidP="00B25EF4">
      <w:pPr>
        <w:pBdr>
          <w:bottom w:val="single" w:sz="12" w:space="1" w:color="1F4E79" w:themeColor="accent1" w:themeShade="80"/>
        </w:pBdr>
        <w:shd w:val="clear" w:color="auto" w:fill="F2F2F2" w:themeFill="background1" w:themeFillShade="F2"/>
        <w:jc w:val="both"/>
        <w:rPr>
          <w:b/>
          <w:szCs w:val="28"/>
        </w:rPr>
      </w:pPr>
      <w:r>
        <w:rPr>
          <w:b/>
          <w:szCs w:val="28"/>
        </w:rPr>
        <w:t>4.   Приложения</w:t>
      </w:r>
    </w:p>
    <w:p w:rsidR="00B25EF4" w:rsidRDefault="00B25EF4" w:rsidP="00B25EF4">
      <w:pPr>
        <w:autoSpaceDE w:val="0"/>
        <w:spacing w:line="276" w:lineRule="auto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444"/>
      </w:tblGrid>
      <w:tr w:rsidR="00B25EF4" w:rsidTr="00B25EF4">
        <w:tc>
          <w:tcPr>
            <w:tcW w:w="1809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ind w:left="-108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1</w:t>
            </w:r>
          </w:p>
        </w:tc>
        <w:tc>
          <w:tcPr>
            <w:tcW w:w="7547" w:type="dxa"/>
            <w:shd w:val="clear" w:color="auto" w:fill="F2F2F2" w:themeFill="background1" w:themeFillShade="F2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 xml:space="preserve">Перечень документов, используемых при разработке местных нормативов градостроительного проектирования </w:t>
            </w:r>
            <w:proofErr w:type="spellStart"/>
            <w:r>
              <w:rPr>
                <w:b/>
              </w:rPr>
              <w:t>Генераловского</w:t>
            </w:r>
            <w:proofErr w:type="spellEnd"/>
            <w:r>
              <w:rPr>
                <w:b/>
              </w:rPr>
              <w:t xml:space="preserve"> сельского поселения Котельниковского муниципального района Волгоградской области, по областям</w:t>
            </w:r>
          </w:p>
        </w:tc>
      </w:tr>
    </w:tbl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Общие положения о нормировании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>1. «Градостроительный кодекс Российской Федерации» от 29.12.2004 N 190-ФЗ (ред. от 07.03.2017)</w:t>
      </w:r>
    </w:p>
    <w:p w:rsidR="00B25EF4" w:rsidRDefault="00B25EF4" w:rsidP="00B25EF4">
      <w:pPr>
        <w:spacing w:line="276" w:lineRule="auto"/>
        <w:ind w:firstLine="567"/>
        <w:jc w:val="both"/>
      </w:pPr>
      <w:r>
        <w:t xml:space="preserve">2. Закон Волгоградской области от 24.11.2008 г. № 1786-ОД «Градостроительный кодекс Волгоградской области» </w:t>
      </w:r>
    </w:p>
    <w:p w:rsidR="00B25EF4" w:rsidRDefault="00B25EF4" w:rsidP="00B25EF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 Региональные нормативы градостроительного проектирования Волгоградской области (утверждены Приказом Комитета строительства Волгоградской области от «21» марта 2016 г. № 114-ОД)</w:t>
      </w:r>
    </w:p>
    <w:p w:rsidR="00B25EF4" w:rsidRDefault="00B25EF4" w:rsidP="00B25EF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 Местные нормативы градостроительного проектирования Котельниковского муниципального района Волгоградской области (утверждены Решением Котельниковского районного Совета народных депутатов Волгоградской области от 28 апреля 2017 года № 41/298)</w:t>
      </w:r>
    </w:p>
    <w:p w:rsidR="00B25EF4" w:rsidRDefault="00B25EF4" w:rsidP="00B25EF4">
      <w:pPr>
        <w:spacing w:line="276" w:lineRule="auto"/>
        <w:ind w:firstLine="567"/>
        <w:jc w:val="both"/>
        <w:rPr>
          <w:color w:val="000000" w:themeColor="text1"/>
        </w:rPr>
      </w:pPr>
      <w:r>
        <w:t xml:space="preserve">5. </w:t>
      </w:r>
      <w:r>
        <w:rPr>
          <w:color w:val="000000" w:themeColor="text1"/>
        </w:rPr>
        <w:t>СП 42.13330.2016 Градостроительство. Планировка и застройка городских и сельских поселений. Актуализированная редакция СНиП 2.07.01-89*</w:t>
      </w:r>
    </w:p>
    <w:p w:rsidR="00B25EF4" w:rsidRDefault="00B25EF4" w:rsidP="00B25EF4">
      <w:pPr>
        <w:spacing w:line="276" w:lineRule="auto"/>
      </w:pPr>
      <w:r>
        <w:t xml:space="preserve"> </w:t>
      </w: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Область инженерно-технического обеспечения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6. Постановление Правительства РФ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</w:t>
      </w: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>7.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</w:t>
      </w: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 xml:space="preserve">8. СП 31.13330.2012 Водоснабжение. Наружные сети и сооружения. (утв. Приказом </w:t>
      </w:r>
      <w:proofErr w:type="spellStart"/>
      <w:r>
        <w:t>Минрегион</w:t>
      </w:r>
      <w:proofErr w:type="spellEnd"/>
      <w:r>
        <w:t xml:space="preserve"> России от 29.12.2011 N 635/14)</w:t>
      </w: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 xml:space="preserve">9. СП 32.13330.2012 Канализация. Наружные сети и сооружения (утв. Приказом </w:t>
      </w:r>
      <w:proofErr w:type="spellStart"/>
      <w:r>
        <w:t>Минрегион</w:t>
      </w:r>
      <w:proofErr w:type="spellEnd"/>
      <w:r>
        <w:t xml:space="preserve"> России от 29.12.2011 N 635/11)</w:t>
      </w: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 xml:space="preserve">10. Постановление от 30 июля 2012 года №5 Министерства топлива, энергетики и тарифного регулирования Волгоградской области (в редакции Приказов Комитета </w:t>
      </w:r>
      <w:r>
        <w:lastRenderedPageBreak/>
        <w:t>тарифного регулирования Волгоградской области от 08.04.2015 N 11/1, от 09.12.2015 N 52/4, от 13.01.2016 N 1/2, от 06.07.2016 N 26/6, от 29.05.2017 N 16)</w:t>
      </w: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>11. Приказ Комитета тарифного регулирования Волгоградской области от 15 апреля 2015 г. n 12/3 «Об утверждении нормативов потребления коммунальных услуг по газоснабжению»</w:t>
      </w: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 xml:space="preserve">12. Постановление от 25 июля 2012 года № 4/1 Министерства топлива, энергетики и тарифного регулирования Волгоградской области «Об утверждении нормативов потребления населением коммунальных услуг по холодному водоснабжению, горячему водоснабжению, водоотведению при отсутствии приборов учета на территории Волгоградской области» (ред. </w:t>
      </w:r>
      <w:r>
        <w:rPr>
          <w:color w:val="000000" w:themeColor="text1"/>
          <w:spacing w:val="2"/>
          <w:shd w:val="clear" w:color="auto" w:fill="FFFFFF"/>
        </w:rPr>
        <w:t>от 5 июля 2017 года N 22/4)</w:t>
      </w:r>
    </w:p>
    <w:p w:rsidR="00B25EF4" w:rsidRDefault="00B25EF4" w:rsidP="00B25EF4">
      <w:pPr>
        <w:autoSpaceDE w:val="0"/>
        <w:spacing w:line="276" w:lineRule="auto"/>
        <w:ind w:firstLine="567"/>
        <w:jc w:val="center"/>
        <w:rPr>
          <w:b/>
        </w:rPr>
      </w:pPr>
    </w:p>
    <w:p w:rsidR="00B25EF4" w:rsidRDefault="00B25EF4" w:rsidP="00B25EF4">
      <w:pPr>
        <w:autoSpaceDE w:val="0"/>
        <w:spacing w:line="276" w:lineRule="auto"/>
        <w:ind w:firstLine="567"/>
        <w:jc w:val="center"/>
      </w:pPr>
      <w:r>
        <w:rPr>
          <w:b/>
        </w:rPr>
        <w:t>Область автомобильных дорог и транспортного обслуживания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</w:pPr>
      <w:r>
        <w:t xml:space="preserve">13. «Руководство по проектированию городских улиц и дорог» Центральный Научно-Исследовательский И Проектный Институт По Градостроительству (ЦНИИП Градостроительства) </w:t>
      </w:r>
      <w:proofErr w:type="spellStart"/>
      <w:r>
        <w:t>Госгражданстроя</w:t>
      </w:r>
      <w:proofErr w:type="spellEnd"/>
    </w:p>
    <w:p w:rsidR="00B25EF4" w:rsidRDefault="00B25EF4" w:rsidP="00B25EF4">
      <w:pPr>
        <w:pStyle w:val="1"/>
        <w:numPr>
          <w:ilvl w:val="0"/>
          <w:numId w:val="0"/>
        </w:numPr>
        <w:shd w:val="clear" w:color="auto" w:fill="FFFFFF"/>
        <w:spacing w:before="0" w:after="0" w:line="276" w:lineRule="auto"/>
        <w:ind w:firstLine="567"/>
        <w:jc w:val="left"/>
        <w:textAlignment w:val="baseline"/>
        <w:rPr>
          <w:bCs/>
          <w:color w:val="000000" w:themeColor="text1"/>
          <w:spacing w:val="2"/>
          <w:szCs w:val="24"/>
        </w:rPr>
      </w:pPr>
      <w:r>
        <w:rPr>
          <w:bCs/>
          <w:color w:val="000000" w:themeColor="text1"/>
          <w:szCs w:val="24"/>
        </w:rPr>
        <w:t xml:space="preserve">14. </w:t>
      </w:r>
      <w:r>
        <w:rPr>
          <w:bCs/>
          <w:color w:val="000000" w:themeColor="text1"/>
          <w:spacing w:val="2"/>
          <w:szCs w:val="24"/>
        </w:rPr>
        <w:t xml:space="preserve">СП 34.13330.2012 </w:t>
      </w:r>
      <w:r>
        <w:rPr>
          <w:bCs/>
          <w:caps w:val="0"/>
          <w:color w:val="000000" w:themeColor="text1"/>
          <w:spacing w:val="2"/>
          <w:szCs w:val="24"/>
        </w:rPr>
        <w:t>Автомобильные дороги. Актуализированная редакция</w:t>
      </w:r>
      <w:r>
        <w:rPr>
          <w:bCs/>
          <w:color w:val="000000" w:themeColor="text1"/>
          <w:spacing w:val="2"/>
          <w:szCs w:val="24"/>
        </w:rPr>
        <w:t xml:space="preserve"> СНиП 2.05.02-85* (с Изменением N 1)</w:t>
      </w:r>
    </w:p>
    <w:p w:rsidR="00B25EF4" w:rsidRDefault="00B25EF4" w:rsidP="00B25EF4">
      <w:pPr>
        <w:spacing w:line="276" w:lineRule="auto"/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Область физической культуры и массового спорта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15. Методические рекомендации по развитию сети организаций сферы физической культуры и спорта и обеспеченности населения услугами таких организаций (утверждены Приказом </w:t>
      </w:r>
      <w:proofErr w:type="spellStart"/>
      <w:r>
        <w:rPr>
          <w:color w:val="000000" w:themeColor="text1"/>
        </w:rPr>
        <w:t>Минспорта</w:t>
      </w:r>
      <w:proofErr w:type="spellEnd"/>
      <w:r>
        <w:rPr>
          <w:color w:val="000000" w:themeColor="text1"/>
        </w:rPr>
        <w:t xml:space="preserve"> России от 25.05.2016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 586 – ред. От 21.11.2016)</w:t>
      </w: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16. СП 31-115-2006 Открытые плоскостные физкультурно-спортивные сооружения</w:t>
      </w: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bCs/>
          <w:color w:val="000000" w:themeColor="text1"/>
        </w:rPr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Область обработки, утилизации, обезвреживания, размещения твердых коммунальных отходов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17. СанПиН 42-128-4690-88 "Санитарные правила содержания территорий населенных мест" (утв. Минздравом СССР 5 августа 1988 г. N 4690-88)</w:t>
      </w: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18. </w:t>
      </w:r>
      <w:r>
        <w:rPr>
          <w:bCs/>
          <w:color w:val="000000" w:themeColor="text1"/>
          <w:shd w:val="clear" w:color="auto" w:fill="FFFFFF"/>
        </w:rPr>
        <w:t>СанПиН2.2.1/2.1.1.1200-03. Санитарно-защитные зоны и санитарная классификация предприятий, сооружений и иных объектов</w:t>
      </w: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Область культуры и искусства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bCs/>
        </w:rPr>
      </w:pPr>
      <w:r>
        <w:rPr>
          <w:bCs/>
        </w:rPr>
        <w:t>19. Распоряжение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</w: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Область местного самоуправления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20. Федеральный закон от 06.10.2003 N 131-ФЗ» Об общих принципах организации местного самоуправления в Российской Федерации».</w:t>
      </w: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</w:p>
    <w:p w:rsidR="00B25EF4" w:rsidRDefault="00B25EF4" w:rsidP="00B25EF4">
      <w:pPr>
        <w:autoSpaceDE w:val="0"/>
        <w:spacing w:line="276" w:lineRule="auto"/>
        <w:jc w:val="center"/>
        <w:rPr>
          <w:b/>
        </w:rPr>
      </w:pPr>
      <w:r>
        <w:rPr>
          <w:b/>
        </w:rPr>
        <w:t>Область благоустройства</w:t>
      </w:r>
    </w:p>
    <w:p w:rsidR="00B25EF4" w:rsidRDefault="00B25EF4" w:rsidP="00B25EF4">
      <w:pPr>
        <w:autoSpaceDE w:val="0"/>
        <w:spacing w:line="276" w:lineRule="auto"/>
        <w:jc w:val="center"/>
      </w:pP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bCs/>
        </w:rPr>
      </w:pPr>
      <w:r>
        <w:rPr>
          <w:bCs/>
        </w:rPr>
        <w:t>21. Проект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 (подготовлены Минстроем России)</w:t>
      </w: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bCs/>
        </w:rPr>
      </w:pPr>
      <w:r>
        <w:rPr>
          <w:bCs/>
        </w:rPr>
        <w:t>22. Приказ Минстроя России от 13.04.2017 N 711/</w:t>
      </w:r>
      <w:proofErr w:type="spellStart"/>
      <w:r>
        <w:rPr>
          <w:bCs/>
        </w:rPr>
        <w:t>пр</w:t>
      </w:r>
      <w:proofErr w:type="spellEnd"/>
      <w:r>
        <w:rPr>
          <w:bCs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</w:t>
      </w:r>
    </w:p>
    <w:p w:rsidR="00B25EF4" w:rsidRDefault="00B25EF4" w:rsidP="00B25EF4">
      <w:pPr>
        <w:pStyle w:val="1"/>
        <w:numPr>
          <w:ilvl w:val="0"/>
          <w:numId w:val="0"/>
        </w:numPr>
        <w:shd w:val="clear" w:color="auto" w:fill="FFFFFF"/>
        <w:spacing w:before="0" w:after="0" w:line="276" w:lineRule="auto"/>
        <w:ind w:firstLine="567"/>
        <w:jc w:val="left"/>
        <w:textAlignment w:val="baseline"/>
        <w:rPr>
          <w:rFonts w:ascii="Arial" w:hAnsi="Arial" w:cs="Arial"/>
          <w:bCs/>
          <w:color w:val="000000" w:themeColor="text1"/>
          <w:spacing w:val="2"/>
          <w:sz w:val="46"/>
          <w:szCs w:val="46"/>
        </w:rPr>
      </w:pPr>
      <w:r>
        <w:rPr>
          <w:color w:val="000000" w:themeColor="text1"/>
        </w:rPr>
        <w:t xml:space="preserve">23. </w:t>
      </w:r>
      <w:r>
        <w:rPr>
          <w:bCs/>
          <w:color w:val="000000" w:themeColor="text1"/>
          <w:spacing w:val="2"/>
          <w:szCs w:val="24"/>
        </w:rPr>
        <w:t xml:space="preserve">СП 82.13330.2016 "СНиП III-10-75 </w:t>
      </w:r>
      <w:r>
        <w:rPr>
          <w:bCs/>
          <w:caps w:val="0"/>
          <w:color w:val="000000" w:themeColor="text1"/>
          <w:spacing w:val="2"/>
          <w:szCs w:val="24"/>
        </w:rPr>
        <w:t>Благоустройство территорий</w:t>
      </w:r>
      <w:r>
        <w:rPr>
          <w:bCs/>
          <w:color w:val="000000" w:themeColor="text1"/>
          <w:spacing w:val="2"/>
          <w:szCs w:val="24"/>
        </w:rPr>
        <w:t>"</w:t>
      </w:r>
    </w:p>
    <w:p w:rsidR="00B25EF4" w:rsidRDefault="00B25EF4" w:rsidP="00B25EF4">
      <w:pPr>
        <w:autoSpaceDE w:val="0"/>
        <w:spacing w:line="276" w:lineRule="auto"/>
        <w:ind w:firstLine="567"/>
        <w:jc w:val="both"/>
        <w:rPr>
          <w:color w:val="FF0000"/>
        </w:rPr>
      </w:pPr>
    </w:p>
    <w:p w:rsidR="00B25EF4" w:rsidRDefault="00B25EF4" w:rsidP="00B25EF4">
      <w:pPr>
        <w:autoSpaceDE w:val="0"/>
        <w:spacing w:line="276" w:lineRule="auto"/>
        <w:jc w:val="both"/>
      </w:pPr>
      <w:r>
        <w:t xml:space="preserve"> </w:t>
      </w: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p w:rsidR="00B25EF4" w:rsidRDefault="00B25EF4" w:rsidP="00B25EF4">
      <w:pPr>
        <w:autoSpaceDE w:val="0"/>
        <w:spacing w:line="276" w:lineRule="auto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444"/>
      </w:tblGrid>
      <w:tr w:rsidR="00B25EF4" w:rsidTr="00B25EF4">
        <w:tc>
          <w:tcPr>
            <w:tcW w:w="1809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ind w:left="-108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2</w:t>
            </w:r>
          </w:p>
        </w:tc>
        <w:tc>
          <w:tcPr>
            <w:tcW w:w="7547" w:type="dxa"/>
            <w:shd w:val="clear" w:color="auto" w:fill="F2F2F2" w:themeFill="background1" w:themeFillShade="F2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Классификация автомобильных дорог местного значения сельского поселения, расчетные параметры улиц и дорог сельского поселения</w:t>
            </w:r>
          </w:p>
        </w:tc>
      </w:tr>
    </w:tbl>
    <w:p w:rsidR="00B25EF4" w:rsidRDefault="00B25EF4" w:rsidP="00B25EF4">
      <w:pPr>
        <w:autoSpaceDE w:val="0"/>
        <w:spacing w:line="276" w:lineRule="auto"/>
        <w:ind w:firstLine="851"/>
        <w:rPr>
          <w:rFonts w:eastAsia="TimesNewRomanPSMT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FF0000"/>
        </w:rPr>
      </w:pPr>
      <w:r>
        <w:rPr>
          <w:rFonts w:eastAsia="TimesNewRomanPSMT"/>
        </w:rPr>
        <w:t>Классификации и расчетные параметры улиц и дорог сельского поселения приняты в соответствии с</w:t>
      </w:r>
      <w:r>
        <w:rPr>
          <w:color w:val="000000" w:themeColor="text1"/>
        </w:rPr>
        <w:t xml:space="preserve"> СП 42.13330.2016 Градостроительство. Планировка и застройка городских и сельских поселений. Актуализированная редакция СНиП 2.07.01-89*. Таб. 11.3 и 11.4. и отображены в таблицах 4.2.1. и 4.2.2. </w:t>
      </w:r>
      <w:r>
        <w:rPr>
          <w:rFonts w:eastAsia="TimesNewRomanPSMT"/>
          <w:color w:val="FF0000"/>
        </w:rPr>
        <w:t xml:space="preserve"> </w:t>
      </w:r>
    </w:p>
    <w:p w:rsidR="00B25EF4" w:rsidRDefault="00B25EF4" w:rsidP="00B25EF4">
      <w:pPr>
        <w:autoSpaceDE w:val="0"/>
        <w:spacing w:line="276" w:lineRule="auto"/>
        <w:ind w:firstLine="851"/>
        <w:jc w:val="right"/>
        <w:rPr>
          <w:rFonts w:eastAsia="TimesNewRomanPSMT"/>
          <w:color w:val="FF0000"/>
        </w:rPr>
      </w:pPr>
    </w:p>
    <w:p w:rsidR="00B25EF4" w:rsidRDefault="00B25EF4" w:rsidP="00B25EF4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 xml:space="preserve">Таблица 4.2.1. Классификация автомобильных дорог </w:t>
      </w:r>
    </w:p>
    <w:p w:rsidR="00B25EF4" w:rsidRDefault="00B25EF4" w:rsidP="00B25EF4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местного значения сельского поселения</w:t>
      </w:r>
    </w:p>
    <w:tbl>
      <w:tblPr>
        <w:tblW w:w="0" w:type="auto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B25EF4" w:rsidTr="00B25EF4">
        <w:trPr>
          <w:trHeight w:val="1008"/>
        </w:trPr>
        <w:tc>
          <w:tcPr>
            <w:tcW w:w="311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Категория дорог и улиц</w:t>
            </w:r>
          </w:p>
        </w:tc>
        <w:tc>
          <w:tcPr>
            <w:tcW w:w="6237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Основное назначение дорог и улиц</w:t>
            </w:r>
          </w:p>
        </w:tc>
      </w:tr>
      <w:tr w:rsidR="00B25EF4" w:rsidTr="00B25EF4">
        <w:trPr>
          <w:trHeight w:val="143"/>
        </w:trPr>
        <w:tc>
          <w:tcPr>
            <w:tcW w:w="3119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Основные улицы сельского поселения</w:t>
            </w:r>
          </w:p>
        </w:tc>
        <w:tc>
          <w:tcPr>
            <w:tcW w:w="623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tabs>
                <w:tab w:val="center" w:pos="-108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Проходят по всей территории сельского населенного пункта, осуществляют основные транспортные и пешеходные связи, а также связь территории жилой застройки с общественным центром. Выходят на внешние дороги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B25EF4" w:rsidTr="00B25EF4">
        <w:trPr>
          <w:trHeight w:val="286"/>
        </w:trPr>
        <w:tc>
          <w:tcPr>
            <w:tcW w:w="3119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Местные улицы</w:t>
            </w:r>
          </w:p>
        </w:tc>
        <w:tc>
          <w:tcPr>
            <w:tcW w:w="623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Обеспечивают связь жилой застройки с основными улицами</w:t>
            </w:r>
          </w:p>
        </w:tc>
      </w:tr>
      <w:tr w:rsidR="00B25EF4" w:rsidTr="00B25EF4">
        <w:trPr>
          <w:trHeight w:val="286"/>
        </w:trPr>
        <w:tc>
          <w:tcPr>
            <w:tcW w:w="3119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Местные дороги</w:t>
            </w:r>
          </w:p>
        </w:tc>
        <w:tc>
          <w:tcPr>
            <w:tcW w:w="623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Обеспечивают связи жилых и производственных территорий, обслуживают производственные территории</w:t>
            </w:r>
          </w:p>
        </w:tc>
      </w:tr>
      <w:tr w:rsidR="00B25EF4" w:rsidTr="00B25EF4">
        <w:trPr>
          <w:trHeight w:val="286"/>
        </w:trPr>
        <w:tc>
          <w:tcPr>
            <w:tcW w:w="3119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Проезды</w:t>
            </w:r>
          </w:p>
        </w:tc>
        <w:tc>
          <w:tcPr>
            <w:tcW w:w="623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Обеспечивают непосредственный подъезд к участкам жилой, производственной и общественной застройки</w:t>
            </w:r>
          </w:p>
        </w:tc>
      </w:tr>
    </w:tbl>
    <w:p w:rsidR="00B25EF4" w:rsidRDefault="00B25EF4" w:rsidP="00B25EF4">
      <w:pPr>
        <w:autoSpaceDE w:val="0"/>
        <w:spacing w:line="276" w:lineRule="auto"/>
        <w:ind w:firstLine="851"/>
        <w:jc w:val="right"/>
        <w:rPr>
          <w:rFonts w:eastAsia="TimesNewRomanPSMT"/>
          <w:color w:val="FF0000"/>
        </w:rPr>
      </w:pPr>
    </w:p>
    <w:p w:rsidR="00B25EF4" w:rsidRDefault="00B25EF4" w:rsidP="00B25EF4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4.2.2. Расчетные параметры улиц и дорог сельского поселения</w:t>
      </w:r>
    </w:p>
    <w:tbl>
      <w:tblPr>
        <w:tblW w:w="0" w:type="auto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418"/>
        <w:gridCol w:w="1275"/>
        <w:gridCol w:w="1310"/>
      </w:tblGrid>
      <w:tr w:rsidR="00B25EF4" w:rsidTr="00B25EF4">
        <w:trPr>
          <w:trHeight w:val="1008"/>
        </w:trPr>
        <w:tc>
          <w:tcPr>
            <w:tcW w:w="195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Категория дорог и улиц</w:t>
            </w:r>
          </w:p>
        </w:tc>
        <w:tc>
          <w:tcPr>
            <w:tcW w:w="1134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Расчетная скорость движения км/ч</w:t>
            </w:r>
          </w:p>
        </w:tc>
        <w:tc>
          <w:tcPr>
            <w:tcW w:w="1134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Ширина полосы движения, м</w:t>
            </w:r>
          </w:p>
        </w:tc>
        <w:tc>
          <w:tcPr>
            <w:tcW w:w="1134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Число полос движения, шт.</w:t>
            </w:r>
          </w:p>
        </w:tc>
        <w:tc>
          <w:tcPr>
            <w:tcW w:w="1418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Наименьший радиус кривых в плане, м</w:t>
            </w:r>
          </w:p>
        </w:tc>
        <w:tc>
          <w:tcPr>
            <w:tcW w:w="1275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Наибольший продольный уклон, ‰</w:t>
            </w:r>
          </w:p>
        </w:tc>
        <w:tc>
          <w:tcPr>
            <w:tcW w:w="131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Ширина пешеходной части тротуара, м</w:t>
            </w:r>
          </w:p>
        </w:tc>
      </w:tr>
      <w:tr w:rsidR="00B25EF4" w:rsidTr="00B25EF4">
        <w:trPr>
          <w:trHeight w:val="143"/>
        </w:trPr>
        <w:tc>
          <w:tcPr>
            <w:tcW w:w="1951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Основные улицы сельского поселения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2-4</w:t>
            </w:r>
          </w:p>
        </w:tc>
        <w:tc>
          <w:tcPr>
            <w:tcW w:w="1418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31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:rsidR="00B25EF4" w:rsidRDefault="00B25EF4">
            <w:pPr>
              <w:tabs>
                <w:tab w:val="left" w:pos="368"/>
                <w:tab w:val="center" w:pos="547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25EF4" w:rsidRDefault="00B25EF4">
            <w:pPr>
              <w:tabs>
                <w:tab w:val="left" w:pos="368"/>
                <w:tab w:val="center" w:pos="547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1,5-2,25</w:t>
            </w:r>
          </w:p>
        </w:tc>
      </w:tr>
      <w:tr w:rsidR="00B25EF4" w:rsidTr="00B25EF4">
        <w:trPr>
          <w:trHeight w:val="286"/>
        </w:trPr>
        <w:tc>
          <w:tcPr>
            <w:tcW w:w="1951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Местные улицы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1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B25EF4" w:rsidTr="00B25EF4">
        <w:trPr>
          <w:trHeight w:val="286"/>
        </w:trPr>
        <w:tc>
          <w:tcPr>
            <w:tcW w:w="1951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Местные дороги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2,75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1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 (допускается устраивать с одной стороны)</w:t>
            </w:r>
          </w:p>
        </w:tc>
      </w:tr>
      <w:tr w:rsidR="00B25EF4" w:rsidTr="00B25EF4">
        <w:trPr>
          <w:trHeight w:val="286"/>
        </w:trPr>
        <w:tc>
          <w:tcPr>
            <w:tcW w:w="1951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Проезды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1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p w:rsidR="00B25EF4" w:rsidRDefault="00B25EF4" w:rsidP="00B25EF4">
      <w:pPr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7445"/>
      </w:tblGrid>
      <w:tr w:rsidR="00B25EF4" w:rsidTr="00B25EF4">
        <w:tc>
          <w:tcPr>
            <w:tcW w:w="1809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ind w:left="-108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3</w:t>
            </w:r>
          </w:p>
        </w:tc>
        <w:tc>
          <w:tcPr>
            <w:tcW w:w="7547" w:type="dxa"/>
            <w:shd w:val="clear" w:color="auto" w:fill="F2F2F2" w:themeFill="background1" w:themeFillShade="F2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Нормативы электропотребления</w:t>
            </w:r>
          </w:p>
        </w:tc>
      </w:tr>
    </w:tbl>
    <w:p w:rsidR="00B25EF4" w:rsidRDefault="00B25EF4" w:rsidP="00B25EF4">
      <w:pPr>
        <w:ind w:right="-1"/>
        <w:jc w:val="right"/>
        <w:rPr>
          <w:color w:val="000000"/>
          <w:szCs w:val="22"/>
        </w:rPr>
      </w:pPr>
    </w:p>
    <w:p w:rsidR="00B25EF4" w:rsidRDefault="00B25EF4" w:rsidP="00B25EF4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Нормативы электропотребления приняты в соответствии с </w:t>
      </w:r>
      <w:r>
        <w:t xml:space="preserve">требованиями Постановления от 30 июля 2012 года №5 Министерства топлива, энергетики и тарифного регулирования Волгоградской </w:t>
      </w:r>
      <w:proofErr w:type="gramStart"/>
      <w:r>
        <w:t>области(</w:t>
      </w:r>
      <w:proofErr w:type="gramEnd"/>
      <w:r>
        <w:t>в редакции Приказов Комитета тарифного регулирования Волгоградской области от 08.04.2015 N 11/1, от 09.12.2015 N 52/4, от 13.01.2016 N 1/2, от 06.07.2016 N 26/6, от 29.05.2017 N 16) и отображены в таблице 4.3.1.</w:t>
      </w:r>
    </w:p>
    <w:p w:rsidR="00B25EF4" w:rsidRDefault="00B25EF4" w:rsidP="00B25EF4">
      <w:pPr>
        <w:ind w:right="-1" w:firstLine="851"/>
        <w:rPr>
          <w:color w:val="000000"/>
          <w:szCs w:val="22"/>
        </w:rPr>
      </w:pPr>
    </w:p>
    <w:p w:rsidR="00B25EF4" w:rsidRDefault="00B25EF4" w:rsidP="00B25EF4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4.3.1. Расчетные показатели объектов, относящихся </w:t>
      </w:r>
    </w:p>
    <w:p w:rsidR="00B25EF4" w:rsidRDefault="00B25EF4" w:rsidP="00B25EF4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обеспеченности)</w:t>
      </w:r>
    </w:p>
    <w:tbl>
      <w:tblPr>
        <w:tblW w:w="0" w:type="dxa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74"/>
        <w:gridCol w:w="3254"/>
        <w:gridCol w:w="1701"/>
        <w:gridCol w:w="765"/>
        <w:gridCol w:w="765"/>
        <w:gridCol w:w="766"/>
        <w:gridCol w:w="765"/>
        <w:gridCol w:w="766"/>
      </w:tblGrid>
      <w:tr w:rsidR="00B25EF4" w:rsidTr="00B25EF4">
        <w:trPr>
          <w:trHeight w:val="778"/>
        </w:trPr>
        <w:tc>
          <w:tcPr>
            <w:tcW w:w="574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16"/>
                <w:lang w:eastAsia="en-US"/>
              </w:rPr>
              <w:t>№</w:t>
            </w:r>
          </w:p>
        </w:tc>
        <w:tc>
          <w:tcPr>
            <w:tcW w:w="3254" w:type="dxa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 объекта</w:t>
            </w:r>
          </w:p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(Наименование ресурса) *</w:t>
            </w:r>
          </w:p>
        </w:tc>
        <w:tc>
          <w:tcPr>
            <w:tcW w:w="5528" w:type="dxa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Показатель минимально допустимого </w:t>
            </w:r>
          </w:p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уровня обеспеченности</w:t>
            </w:r>
          </w:p>
        </w:tc>
      </w:tr>
      <w:tr w:rsidR="00B25EF4" w:rsidTr="00B25EF4">
        <w:trPr>
          <w:trHeight w:val="606"/>
        </w:trPr>
        <w:tc>
          <w:tcPr>
            <w:tcW w:w="574" w:type="dxa"/>
            <w:vMerge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Единица </w:t>
            </w:r>
          </w:p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3827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Величина</w:t>
            </w:r>
          </w:p>
        </w:tc>
      </w:tr>
      <w:tr w:rsidR="00B25EF4" w:rsidTr="00B25EF4">
        <w:trPr>
          <w:trHeight w:val="909"/>
        </w:trPr>
        <w:tc>
          <w:tcPr>
            <w:tcW w:w="574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Электроэнергия, электропотребление для жилых помещений, оборудованных газовыми плитами, </w:t>
            </w:r>
          </w:p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количестве комнат:</w:t>
            </w:r>
          </w:p>
        </w:tc>
        <w:tc>
          <w:tcPr>
            <w:tcW w:w="1701" w:type="dxa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/чел./мес.</w:t>
            </w:r>
          </w:p>
        </w:tc>
        <w:tc>
          <w:tcPr>
            <w:tcW w:w="3827" w:type="dxa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количестве проживающих, чел.</w:t>
            </w:r>
          </w:p>
        </w:tc>
      </w:tr>
      <w:tr w:rsidR="00B25EF4" w:rsidTr="00B25EF4">
        <w:trPr>
          <w:trHeight w:val="255"/>
        </w:trPr>
        <w:tc>
          <w:tcPr>
            <w:tcW w:w="574" w:type="dxa"/>
            <w:vMerge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комната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и более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B25EF4" w:rsidTr="00B25EF4">
        <w:trPr>
          <w:trHeight w:val="880"/>
        </w:trPr>
        <w:tc>
          <w:tcPr>
            <w:tcW w:w="574" w:type="dxa"/>
            <w:vMerge w:val="restar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54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Электроэнергия, электропотребление для жилых помещений, оборудованных стационарными электрическими плитами, при количестве комнат:</w:t>
            </w:r>
          </w:p>
        </w:tc>
        <w:tc>
          <w:tcPr>
            <w:tcW w:w="170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количестве проживающих, чел.</w:t>
            </w:r>
          </w:p>
        </w:tc>
      </w:tr>
      <w:tr w:rsidR="00B25EF4" w:rsidTr="00B25EF4">
        <w:trPr>
          <w:trHeight w:val="65"/>
        </w:trPr>
        <w:tc>
          <w:tcPr>
            <w:tcW w:w="574" w:type="dxa"/>
            <w:vMerge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комната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и более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B25EF4" w:rsidTr="00B25EF4">
        <w:trPr>
          <w:trHeight w:val="588"/>
        </w:trPr>
        <w:tc>
          <w:tcPr>
            <w:tcW w:w="574" w:type="dxa"/>
            <w:vMerge w:val="restar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54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Электроэнергия, электропотребление для жилых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помещений, оборудованных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электроводонагревателями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количестве проживающих, чел.</w:t>
            </w:r>
          </w:p>
        </w:tc>
      </w:tr>
      <w:tr w:rsidR="00B25EF4" w:rsidTr="00B25EF4">
        <w:trPr>
          <w:trHeight w:val="256"/>
        </w:trPr>
        <w:tc>
          <w:tcPr>
            <w:tcW w:w="574" w:type="dxa"/>
            <w:vMerge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комната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и более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B25EF4" w:rsidTr="00B25EF4">
        <w:trPr>
          <w:trHeight w:val="809"/>
        </w:trPr>
        <w:tc>
          <w:tcPr>
            <w:tcW w:w="574" w:type="dxa"/>
            <w:vMerge w:val="restart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54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Электроэнергия, электропотребление для жилых помещений, оборудованных стационарными электроплитами 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электроводонагревателями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количестве проживающих, чел.</w:t>
            </w:r>
          </w:p>
        </w:tc>
      </w:tr>
      <w:tr w:rsidR="00B25EF4" w:rsidTr="00B25EF4">
        <w:trPr>
          <w:trHeight w:val="308"/>
        </w:trPr>
        <w:tc>
          <w:tcPr>
            <w:tcW w:w="574" w:type="dxa"/>
            <w:vMerge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комната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89</w:t>
            </w:r>
          </w:p>
        </w:tc>
      </w:tr>
      <w:tr w:rsidR="00B25EF4" w:rsidTr="00B25EF4">
        <w:trPr>
          <w:trHeight w:val="630"/>
        </w:trPr>
        <w:tc>
          <w:tcPr>
            <w:tcW w:w="574" w:type="dxa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254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и более комнаты</w:t>
            </w:r>
          </w:p>
        </w:tc>
        <w:tc>
          <w:tcPr>
            <w:tcW w:w="170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>/чел./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76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6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</w:t>
            </w:r>
          </w:p>
        </w:tc>
      </w:tr>
    </w:tbl>
    <w:p w:rsidR="00B25EF4" w:rsidRDefault="00B25EF4" w:rsidP="00B25EF4">
      <w:pPr>
        <w:ind w:firstLine="709"/>
        <w:rPr>
          <w:color w:val="000000"/>
          <w:sz w:val="22"/>
          <w:szCs w:val="22"/>
          <w:u w:val="single"/>
        </w:rPr>
      </w:pPr>
    </w:p>
    <w:p w:rsidR="00B25EF4" w:rsidRDefault="00B25EF4" w:rsidP="00B25EF4">
      <w:pPr>
        <w:ind w:firstLine="709"/>
        <w:rPr>
          <w:color w:val="000000"/>
          <w:sz w:val="22"/>
          <w:szCs w:val="22"/>
          <w:u w:val="single"/>
        </w:rPr>
      </w:pPr>
    </w:p>
    <w:p w:rsidR="00B25EF4" w:rsidRDefault="00B25EF4" w:rsidP="00B25EF4">
      <w:pPr>
        <w:ind w:firstLine="709"/>
        <w:rPr>
          <w:color w:val="000000"/>
          <w:sz w:val="22"/>
          <w:szCs w:val="22"/>
          <w:u w:val="single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ind w:firstLine="851"/>
        <w:rPr>
          <w:bdr w:val="none" w:sz="0" w:space="0" w:color="auto" w:frame="1"/>
        </w:rPr>
      </w:pPr>
    </w:p>
    <w:p w:rsidR="00B25EF4" w:rsidRDefault="00B25EF4" w:rsidP="00B25EF4">
      <w:pPr>
        <w:rPr>
          <w:bdr w:val="none" w:sz="0" w:space="0" w:color="auto" w:frame="1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47"/>
      </w:tblGrid>
      <w:tr w:rsidR="00B25EF4" w:rsidTr="00B25EF4">
        <w:tc>
          <w:tcPr>
            <w:tcW w:w="1809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ind w:left="-108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4</w:t>
            </w:r>
          </w:p>
        </w:tc>
        <w:tc>
          <w:tcPr>
            <w:tcW w:w="7547" w:type="dxa"/>
            <w:shd w:val="clear" w:color="auto" w:fill="F2F2F2" w:themeFill="background1" w:themeFillShade="F2"/>
            <w:hideMark/>
          </w:tcPr>
          <w:p w:rsidR="00B25EF4" w:rsidRDefault="00B25EF4">
            <w:pPr>
              <w:autoSpaceDE w:val="0"/>
              <w:rPr>
                <w:rFonts w:eastAsia="TimesNewRomanPSMT"/>
                <w:b/>
              </w:rPr>
            </w:pPr>
            <w:r>
              <w:rPr>
                <w:b/>
              </w:rPr>
              <w:t>Нормативы потребления газа</w:t>
            </w:r>
          </w:p>
        </w:tc>
      </w:tr>
    </w:tbl>
    <w:p w:rsidR="00B25EF4" w:rsidRDefault="00B25EF4" w:rsidP="00B25EF4">
      <w:pPr>
        <w:autoSpaceDE w:val="0"/>
        <w:spacing w:line="276" w:lineRule="auto"/>
        <w:jc w:val="both"/>
        <w:rPr>
          <w:rFonts w:eastAsia="TimesNewRomanPSMT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t>Нормативы потребления газа приняты согласно Приказу Комитета тарифного регулирования Волгоградской области от 15 апреля 2015 г. n 12/3 «Об утверждении нормативов потребления коммунальных услуг по газоснабжению» и отображены в таблице 4.4.1.</w:t>
      </w:r>
    </w:p>
    <w:p w:rsidR="00B25EF4" w:rsidRDefault="00B25EF4" w:rsidP="00B25EF4">
      <w:pPr>
        <w:autoSpaceDE w:val="0"/>
        <w:spacing w:line="276" w:lineRule="auto"/>
        <w:jc w:val="both"/>
        <w:rPr>
          <w:rFonts w:eastAsia="TimesNewRomanPSMT"/>
        </w:rPr>
      </w:pPr>
    </w:p>
    <w:p w:rsidR="00B25EF4" w:rsidRDefault="00B25EF4" w:rsidP="00B25EF4">
      <w:pPr>
        <w:ind w:right="-1"/>
        <w:jc w:val="right"/>
      </w:pPr>
      <w:r>
        <w:rPr>
          <w:color w:val="000000"/>
        </w:rPr>
        <w:t xml:space="preserve">Таблица 4.4.1. </w:t>
      </w:r>
      <w:r>
        <w:t xml:space="preserve">Нормативы потребления газа в зависимости от типа </w:t>
      </w:r>
    </w:p>
    <w:p w:rsidR="00B25EF4" w:rsidRDefault="00B25EF4" w:rsidP="00B25EF4">
      <w:pPr>
        <w:ind w:right="-1"/>
        <w:jc w:val="right"/>
      </w:pPr>
      <w:r>
        <w:t>оборудования и целевого использования коммунального ресурса</w:t>
      </w:r>
    </w:p>
    <w:tbl>
      <w:tblPr>
        <w:tblW w:w="9356" w:type="dxa"/>
        <w:tblInd w:w="108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0A0" w:firstRow="1" w:lastRow="0" w:firstColumn="1" w:lastColumn="0" w:noHBand="0" w:noVBand="0"/>
      </w:tblPr>
      <w:tblGrid>
        <w:gridCol w:w="538"/>
        <w:gridCol w:w="4733"/>
        <w:gridCol w:w="2562"/>
        <w:gridCol w:w="1523"/>
      </w:tblGrid>
      <w:tr w:rsidR="00B25EF4" w:rsidTr="00B25EF4">
        <w:trPr>
          <w:trHeight w:val="780"/>
        </w:trPr>
        <w:tc>
          <w:tcPr>
            <w:tcW w:w="538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733" w:type="dxa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Категория (жилого) дома *</w:t>
            </w:r>
          </w:p>
        </w:tc>
        <w:tc>
          <w:tcPr>
            <w:tcW w:w="4085" w:type="dxa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Показатель минимально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допустимогоуровня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обеспеченности</w:t>
            </w:r>
          </w:p>
        </w:tc>
      </w:tr>
      <w:tr w:rsidR="00B25EF4" w:rsidTr="00B25EF4">
        <w:trPr>
          <w:trHeight w:val="506"/>
        </w:trPr>
        <w:tc>
          <w:tcPr>
            <w:tcW w:w="0" w:type="auto"/>
            <w:vMerge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23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Величина</w:t>
            </w:r>
          </w:p>
        </w:tc>
      </w:tr>
      <w:tr w:rsidR="00B25EF4" w:rsidTr="00B25EF4">
        <w:trPr>
          <w:trHeight w:val="416"/>
        </w:trPr>
        <w:tc>
          <w:tcPr>
            <w:tcW w:w="9356" w:type="dxa"/>
            <w:gridSpan w:val="4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Для приготовления пищи</w:t>
            </w:r>
          </w:p>
        </w:tc>
      </w:tr>
      <w:tr w:rsidR="00B25EF4" w:rsidTr="00B25EF4">
        <w:trPr>
          <w:trHeight w:val="132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3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Жилые дома, оборудованные газовой плитой, при газоснабжении природным газом</w:t>
            </w:r>
          </w:p>
        </w:tc>
        <w:tc>
          <w:tcPr>
            <w:tcW w:w="256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куб. м / чел. в год</w:t>
            </w:r>
          </w:p>
        </w:tc>
        <w:tc>
          <w:tcPr>
            <w:tcW w:w="152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138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3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Жилые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дома, оборудованные газовой плитой, при газоснабжении сжиженным углеводородным газом</w:t>
            </w:r>
          </w:p>
        </w:tc>
        <w:tc>
          <w:tcPr>
            <w:tcW w:w="256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кг / чел. год</w:t>
            </w:r>
          </w:p>
        </w:tc>
        <w:tc>
          <w:tcPr>
            <w:tcW w:w="152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83,3</w:t>
            </w:r>
          </w:p>
        </w:tc>
      </w:tr>
      <w:tr w:rsidR="00B25EF4" w:rsidTr="00B25EF4">
        <w:trPr>
          <w:trHeight w:val="451"/>
        </w:trPr>
        <w:tc>
          <w:tcPr>
            <w:tcW w:w="9356" w:type="dxa"/>
            <w:gridSpan w:val="4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Для подогрева воды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73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дома,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256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куб. м / чел. в год</w:t>
            </w:r>
          </w:p>
        </w:tc>
        <w:tc>
          <w:tcPr>
            <w:tcW w:w="152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73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дома, оборудованные газовым водонагревателем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256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 / чел. год</w:t>
            </w:r>
          </w:p>
        </w:tc>
        <w:tc>
          <w:tcPr>
            <w:tcW w:w="152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3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Многоквартирные и жилые дома, оборудованные газовой плитой и не оборудованные газовым обогревателем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256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куб. м / чел. в год</w:t>
            </w:r>
          </w:p>
        </w:tc>
        <w:tc>
          <w:tcPr>
            <w:tcW w:w="152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64,32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73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hideMark/>
          </w:tcPr>
          <w:p w:rsidR="00B25EF4" w:rsidRDefault="00B25E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дома, оборудованные газовой плитой и не оборудованные газовым обогревателем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2562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 / чел. год</w:t>
            </w:r>
          </w:p>
        </w:tc>
        <w:tc>
          <w:tcPr>
            <w:tcW w:w="1523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42,12</w:t>
            </w:r>
          </w:p>
        </w:tc>
      </w:tr>
      <w:tr w:rsidR="00B25EF4" w:rsidTr="00B25EF4">
        <w:trPr>
          <w:trHeight w:val="391"/>
        </w:trPr>
        <w:tc>
          <w:tcPr>
            <w:tcW w:w="9356" w:type="dxa"/>
            <w:gridSpan w:val="4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Для отопления жилых помещений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 при газоснабжении природным газом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куб. м / кв. м общей площади жилых помещений в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93,6</w:t>
            </w:r>
          </w:p>
        </w:tc>
      </w:tr>
      <w:tr w:rsidR="00B25EF4" w:rsidTr="00B25EF4">
        <w:trPr>
          <w:trHeight w:val="836"/>
        </w:trPr>
        <w:tc>
          <w:tcPr>
            <w:tcW w:w="538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 при газоснабжении сжиженным углеводородным газом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 / кв. м общей площади жилых помещений в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4" w:rsidRDefault="00B25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40,8</w:t>
            </w:r>
          </w:p>
        </w:tc>
      </w:tr>
    </w:tbl>
    <w:p w:rsidR="00B25EF4" w:rsidRDefault="00B25EF4" w:rsidP="00B25EF4">
      <w:pPr>
        <w:ind w:right="-1"/>
        <w:rPr>
          <w:rFonts w:eastAsia="TimesNewRomanPSMT"/>
        </w:rPr>
      </w:pPr>
    </w:p>
    <w:p w:rsidR="00B25EF4" w:rsidRDefault="00B25EF4" w:rsidP="00B25EF4">
      <w:pPr>
        <w:ind w:right="-1"/>
        <w:rPr>
          <w:rFonts w:eastAsia="TimesNewRomanPSMT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444"/>
      </w:tblGrid>
      <w:tr w:rsidR="00B25EF4" w:rsidTr="00B25EF4">
        <w:tc>
          <w:tcPr>
            <w:tcW w:w="1809" w:type="dxa"/>
            <w:shd w:val="clear" w:color="auto" w:fill="AEAAAA" w:themeFill="background2" w:themeFillShade="BF"/>
            <w:hideMark/>
          </w:tcPr>
          <w:p w:rsidR="00B25EF4" w:rsidRDefault="00B25EF4">
            <w:pPr>
              <w:autoSpaceDE w:val="0"/>
              <w:ind w:left="-108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5</w:t>
            </w:r>
          </w:p>
        </w:tc>
        <w:tc>
          <w:tcPr>
            <w:tcW w:w="7547" w:type="dxa"/>
            <w:shd w:val="clear" w:color="auto" w:fill="F2F2F2" w:themeFill="background1" w:themeFillShade="F2"/>
            <w:hideMark/>
          </w:tcPr>
          <w:p w:rsidR="00B25EF4" w:rsidRDefault="00B25EF4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Нормативы потребления коммунальных услуг по холодному </w:t>
            </w:r>
          </w:p>
          <w:p w:rsidR="00B25EF4" w:rsidRDefault="00B25EF4">
            <w:pPr>
              <w:autoSpaceDE w:val="0"/>
              <w:rPr>
                <w:b/>
              </w:rPr>
            </w:pPr>
            <w:r>
              <w:rPr>
                <w:b/>
              </w:rPr>
              <w:t>водоснабжению</w:t>
            </w:r>
          </w:p>
        </w:tc>
      </w:tr>
    </w:tbl>
    <w:p w:rsidR="00B25EF4" w:rsidRDefault="00B25EF4" w:rsidP="00B25EF4">
      <w:pPr>
        <w:ind w:right="-1"/>
        <w:jc w:val="right"/>
        <w:rPr>
          <w:color w:val="000000"/>
          <w:szCs w:val="22"/>
        </w:rPr>
      </w:pPr>
    </w:p>
    <w:p w:rsidR="00B25EF4" w:rsidRDefault="00B25EF4" w:rsidP="00B25E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Нормативы потребления услуг по холодному водоснабжению приняты согласно Постановления от 25 июля 2012 года № 4/1 Министерства топлива, энергетики и тарифного регулирования Волгоградской области «Об утверждении нормативов потребления населением коммунальных услуг по холодному водоснабжению, горячему водоснабжению, водоотведению при отсутствии приборов учета на территории Волгоградской области» (ред. </w:t>
      </w:r>
      <w:r>
        <w:rPr>
          <w:color w:val="000000" w:themeColor="text1"/>
          <w:spacing w:val="2"/>
          <w:shd w:val="clear" w:color="auto" w:fill="FFFFFF"/>
        </w:rPr>
        <w:t>от 5 июля 2017 года N 22/4</w:t>
      </w:r>
      <w:proofErr w:type="gramStart"/>
      <w:r>
        <w:rPr>
          <w:color w:val="000000" w:themeColor="text1"/>
          <w:spacing w:val="2"/>
          <w:shd w:val="clear" w:color="auto" w:fill="FFFFFF"/>
        </w:rPr>
        <w:t>)</w:t>
      </w:r>
      <w:r>
        <w:t xml:space="preserve">  и</w:t>
      </w:r>
      <w:proofErr w:type="gramEnd"/>
      <w:r>
        <w:t xml:space="preserve"> отображены в таблице 4.5.1. </w:t>
      </w:r>
    </w:p>
    <w:p w:rsidR="00B25EF4" w:rsidRDefault="00B25EF4" w:rsidP="00B25EF4">
      <w:pPr>
        <w:ind w:right="-1" w:firstLine="851"/>
        <w:rPr>
          <w:color w:val="000000"/>
          <w:szCs w:val="22"/>
        </w:rPr>
      </w:pPr>
    </w:p>
    <w:p w:rsidR="00B25EF4" w:rsidRDefault="00B25EF4" w:rsidP="00B25EF4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4.5.1. Расчетные показатели объектов, </w:t>
      </w:r>
    </w:p>
    <w:p w:rsidR="00B25EF4" w:rsidRDefault="00B25EF4" w:rsidP="00B25EF4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относящихся к области водоснабжения населения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2126"/>
      </w:tblGrid>
      <w:tr w:rsidR="00B25EF4" w:rsidTr="00B25EF4">
        <w:trPr>
          <w:trHeight w:val="36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Тип жилого помещения</w:t>
            </w:r>
          </w:p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при централизованном холодном водоснабжении</w:t>
            </w:r>
          </w:p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(с отсутствием горячего </w:t>
            </w:r>
            <w:proofErr w:type="gramStart"/>
            <w:r>
              <w:rPr>
                <w:b/>
                <w:sz w:val="21"/>
                <w:szCs w:val="21"/>
                <w:lang w:eastAsia="en-US"/>
              </w:rPr>
              <w:t>водоснабжения)*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Норматив холодного водоснабжения, м3</w:t>
            </w:r>
            <w:proofErr w:type="gramStart"/>
            <w:r>
              <w:rPr>
                <w:b/>
                <w:sz w:val="21"/>
                <w:szCs w:val="21"/>
                <w:lang w:eastAsia="en-US"/>
              </w:rPr>
              <w:t>/(</w:t>
            </w:r>
            <w:proofErr w:type="gramEnd"/>
            <w:r>
              <w:rPr>
                <w:b/>
                <w:sz w:val="21"/>
                <w:szCs w:val="21"/>
                <w:lang w:eastAsia="en-US"/>
              </w:rPr>
              <w:t>чел. x мес.)</w:t>
            </w:r>
          </w:p>
        </w:tc>
      </w:tr>
      <w:tr w:rsidR="00B25EF4" w:rsidTr="00B25EF4">
        <w:trPr>
          <w:trHeight w:val="199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 Жилые помещения, оборудованные ванной сидячей длиной 1200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9,30</w:t>
            </w:r>
          </w:p>
        </w:tc>
      </w:tr>
      <w:tr w:rsidR="00B25EF4" w:rsidTr="00B25EF4">
        <w:trPr>
          <w:trHeight w:val="17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2. Жилые помещения, оборудованные ванной длиной 1500 - 1550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9,76</w:t>
            </w:r>
          </w:p>
        </w:tc>
      </w:tr>
      <w:tr w:rsidR="00B25EF4" w:rsidTr="00B25EF4">
        <w:trPr>
          <w:trHeight w:val="142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 Жилые помещения, оборудованные ванной длиной 1650 - 1700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9,95</w:t>
            </w:r>
          </w:p>
        </w:tc>
      </w:tr>
      <w:tr w:rsidR="00B25EF4" w:rsidTr="00B25EF4">
        <w:trPr>
          <w:trHeight w:val="206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4. Жилые помещения, оборудованные душем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5,63</w:t>
            </w:r>
          </w:p>
        </w:tc>
      </w:tr>
      <w:tr w:rsidR="00B25EF4" w:rsidTr="00B25EF4">
        <w:trPr>
          <w:trHeight w:val="142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5. Прочие жилые помещения, не оборудованные ванной и душем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2,53</w:t>
            </w:r>
          </w:p>
        </w:tc>
      </w:tr>
      <w:tr w:rsidR="00B25EF4" w:rsidTr="00B25EF4">
        <w:trPr>
          <w:trHeight w:val="205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6. Прочие жилые помещения, не оборудованные ванной, душем, унитазом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1,80</w:t>
            </w:r>
          </w:p>
        </w:tc>
      </w:tr>
      <w:tr w:rsidR="00B25EF4" w:rsidTr="00B25EF4">
        <w:trPr>
          <w:trHeight w:val="451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7. Прочие жилые помещения с наличием на этажах общих кухонь, туалетов или блоков душевых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3,79</w:t>
            </w:r>
          </w:p>
        </w:tc>
      </w:tr>
      <w:tr w:rsidR="00B25EF4" w:rsidTr="00B25EF4">
        <w:trPr>
          <w:trHeight w:val="343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 Жилые помещения с использованием питьевой воды из водопроводного крана, расположенного на территории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1,83</w:t>
            </w:r>
          </w:p>
        </w:tc>
      </w:tr>
      <w:tr w:rsidR="00B25EF4" w:rsidTr="00B25EF4">
        <w:trPr>
          <w:trHeight w:val="348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rPr>
                <w:sz w:val="21"/>
                <w:szCs w:val="21"/>
                <w:lang w:eastAsia="en-US"/>
              </w:rPr>
            </w:pPr>
            <w:bookmarkStart w:id="1" w:name="P139"/>
            <w:bookmarkEnd w:id="1"/>
            <w:r>
              <w:rPr>
                <w:sz w:val="21"/>
                <w:szCs w:val="21"/>
                <w:lang w:eastAsia="en-US"/>
              </w:rPr>
              <w:t>9. Жилые помещения с использованием питьевой воды из водоразборных колонок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4" w:rsidRDefault="00B25E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1,22</w:t>
            </w:r>
          </w:p>
        </w:tc>
      </w:tr>
    </w:tbl>
    <w:p w:rsidR="00B25EF4" w:rsidRDefault="00B25EF4" w:rsidP="00B25EF4">
      <w:pPr>
        <w:ind w:right="-142"/>
        <w:contextualSpacing/>
        <w:jc w:val="right"/>
        <w:rPr>
          <w:b/>
          <w:i/>
          <w:color w:val="000000"/>
          <w:sz w:val="22"/>
          <w:szCs w:val="22"/>
        </w:rPr>
      </w:pPr>
    </w:p>
    <w:p w:rsidR="00B25EF4" w:rsidRDefault="00B25EF4" w:rsidP="00B25EF4">
      <w:pPr>
        <w:spacing w:line="240" w:lineRule="exact"/>
        <w:ind w:firstLine="851"/>
        <w:jc w:val="both"/>
        <w:rPr>
          <w:color w:val="000000"/>
          <w:szCs w:val="22"/>
        </w:rPr>
      </w:pPr>
      <w:r>
        <w:rPr>
          <w:color w:val="000000"/>
          <w:szCs w:val="22"/>
        </w:rPr>
        <w:t>Примечания:</w:t>
      </w:r>
    </w:p>
    <w:p w:rsidR="00B25EF4" w:rsidRDefault="00B25EF4" w:rsidP="00B25EF4">
      <w:pPr>
        <w:spacing w:line="240" w:lineRule="exact"/>
        <w:ind w:firstLine="851"/>
        <w:jc w:val="both"/>
        <w:rPr>
          <w:color w:val="000000"/>
          <w:szCs w:val="22"/>
        </w:rPr>
      </w:pPr>
      <w:r>
        <w:rPr>
          <w:color w:val="000000"/>
          <w:szCs w:val="22"/>
        </w:rPr>
        <w:t>1. (*) Указанные нормы следует применять с учётом требований табл.1 СП 31.13330.2012.</w:t>
      </w:r>
    </w:p>
    <w:p w:rsidR="00B25EF4" w:rsidRDefault="00B25EF4" w:rsidP="00B25EF4">
      <w:pPr>
        <w:ind w:right="-142"/>
        <w:contextualSpacing/>
        <w:rPr>
          <w:b/>
          <w:i/>
          <w:color w:val="000000"/>
          <w:sz w:val="22"/>
          <w:szCs w:val="22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  <w:color w:val="C00000"/>
        </w:rPr>
      </w:pPr>
    </w:p>
    <w:p w:rsidR="00B25EF4" w:rsidRDefault="00B25EF4" w:rsidP="00B25EF4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B10BF" w:rsidRDefault="00B25EF4"/>
    <w:sectPr w:rsidR="008B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B77A7"/>
    <w:multiLevelType w:val="multilevel"/>
    <w:tmpl w:val="1A2C7A12"/>
    <w:lvl w:ilvl="0">
      <w:start w:val="1"/>
      <w:numFmt w:val="decimal"/>
      <w:pStyle w:val="1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1996" w:hanging="720"/>
      </w:pPr>
    </w:lvl>
    <w:lvl w:ilvl="4">
      <w:start w:val="1"/>
      <w:numFmt w:val="decimal"/>
      <w:isLgl/>
      <w:lvlText w:val="%1.%2.%3.%4.%5"/>
      <w:lvlJc w:val="left"/>
      <w:pPr>
        <w:ind w:left="2356" w:hanging="1080"/>
      </w:pPr>
    </w:lvl>
    <w:lvl w:ilvl="5">
      <w:start w:val="1"/>
      <w:numFmt w:val="decimal"/>
      <w:isLgl/>
      <w:lvlText w:val="%1.%2.%3.%4.%5.%6"/>
      <w:lvlJc w:val="left"/>
      <w:pPr>
        <w:ind w:left="2356" w:hanging="1080"/>
      </w:pPr>
    </w:lvl>
    <w:lvl w:ilvl="6">
      <w:start w:val="1"/>
      <w:numFmt w:val="decimal"/>
      <w:isLgl/>
      <w:lvlText w:val="%1.%2.%3.%4.%5.%6.%7"/>
      <w:lvlJc w:val="left"/>
      <w:pPr>
        <w:ind w:left="2716" w:hanging="1440"/>
      </w:p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4"/>
    <w:rsid w:val="0045255D"/>
    <w:rsid w:val="009E25A5"/>
    <w:rsid w:val="00B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D169-92DC-44FE-847D-C7F68F7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B25EF4"/>
    <w:pPr>
      <w:keepNext/>
      <w:keepLines/>
      <w:numPr>
        <w:numId w:val="1"/>
      </w:numPr>
      <w:spacing w:before="120" w:after="120"/>
      <w:jc w:val="center"/>
      <w:outlineLvl w:val="0"/>
    </w:pPr>
    <w:rPr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B25EF4"/>
    <w:rPr>
      <w:rFonts w:ascii="Times New Roman" w:eastAsia="Times New Roman" w:hAnsi="Times New Roman" w:cs="Times New Roman"/>
      <w:caps/>
      <w:sz w:val="24"/>
      <w:szCs w:val="28"/>
      <w:lang w:eastAsia="ru-RU"/>
    </w:rPr>
  </w:style>
  <w:style w:type="paragraph" w:customStyle="1" w:styleId="Default">
    <w:name w:val="Default"/>
    <w:uiPriority w:val="99"/>
    <w:rsid w:val="00B25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5E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2017-10-31T06:31:00Z</dcterms:created>
  <dcterms:modified xsi:type="dcterms:W3CDTF">2017-10-31T06:33:00Z</dcterms:modified>
</cp:coreProperties>
</file>